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5D2C7C" w14:textId="6B3A02C0" w:rsidR="00214E6A" w:rsidRPr="004A1A95" w:rsidRDefault="00214E6A" w:rsidP="00214E6A">
      <w:pPr>
        <w:pStyle w:val="3GPPHeader"/>
        <w:spacing w:after="60"/>
        <w:rPr>
          <w:sz w:val="32"/>
          <w:szCs w:val="32"/>
        </w:rPr>
      </w:pPr>
      <w:r>
        <w:t>3GPP RAN WG</w:t>
      </w:r>
      <w:r w:rsidR="00A575EC">
        <w:t>1</w:t>
      </w:r>
      <w:r>
        <w:t xml:space="preserve"> Meeting #1</w:t>
      </w:r>
      <w:r w:rsidR="00A575EC">
        <w:t>03</w:t>
      </w:r>
      <w:r w:rsidR="00DD70A0">
        <w:t>-</w:t>
      </w:r>
      <w:r w:rsidR="00AC76A8">
        <w:t>e</w:t>
      </w:r>
      <w:r w:rsidRPr="004A1A95">
        <w:tab/>
      </w:r>
      <w:r w:rsidRPr="00102774">
        <w:rPr>
          <w:rFonts w:cs="Arial"/>
          <w:bCs/>
          <w:sz w:val="26"/>
          <w:szCs w:val="26"/>
        </w:rPr>
        <w:t>R</w:t>
      </w:r>
      <w:r w:rsidR="00853ECC">
        <w:rPr>
          <w:rFonts w:cs="Arial"/>
          <w:bCs/>
          <w:sz w:val="26"/>
          <w:szCs w:val="26"/>
        </w:rPr>
        <w:t>1</w:t>
      </w:r>
      <w:r w:rsidRPr="00102774">
        <w:rPr>
          <w:rFonts w:cs="Arial"/>
          <w:bCs/>
          <w:sz w:val="26"/>
          <w:szCs w:val="26"/>
        </w:rPr>
        <w:t>-</w:t>
      </w:r>
      <w:r w:rsidR="00AC76A8">
        <w:rPr>
          <w:rFonts w:cs="Arial"/>
          <w:bCs/>
          <w:sz w:val="26"/>
          <w:szCs w:val="26"/>
        </w:rPr>
        <w:t>20</w:t>
      </w:r>
      <w:r w:rsidR="00853ECC">
        <w:rPr>
          <w:rFonts w:cs="Arial"/>
          <w:bCs/>
          <w:sz w:val="26"/>
          <w:szCs w:val="26"/>
        </w:rPr>
        <w:t>09199</w:t>
      </w:r>
    </w:p>
    <w:p w14:paraId="698051DC" w14:textId="2B886C9F" w:rsidR="00214E6A" w:rsidRPr="00702A88" w:rsidRDefault="00AC76A8" w:rsidP="00214E6A">
      <w:pPr>
        <w:pStyle w:val="3GPPHeader"/>
      </w:pPr>
      <w:r>
        <w:t>e</w:t>
      </w:r>
      <w:r w:rsidR="00DD70A0">
        <w:t>-</w:t>
      </w:r>
      <w:r>
        <w:t>Meeting</w:t>
      </w:r>
      <w:r w:rsidR="00214E6A" w:rsidRPr="00CC0905">
        <w:t xml:space="preserve"> </w:t>
      </w:r>
      <w:r w:rsidR="00853ECC">
        <w:t>October 26</w:t>
      </w:r>
      <w:r w:rsidR="00853ECC" w:rsidRPr="00853ECC">
        <w:rPr>
          <w:vertAlign w:val="superscript"/>
        </w:rPr>
        <w:t>th</w:t>
      </w:r>
      <w:r w:rsidR="00853ECC">
        <w:t xml:space="preserve"> </w:t>
      </w:r>
      <w:r w:rsidR="00EC108B">
        <w:t>–</w:t>
      </w:r>
      <w:r w:rsidR="00853ECC">
        <w:t xml:space="preserve"> November</w:t>
      </w:r>
      <w:r w:rsidR="00EC108B">
        <w:t xml:space="preserve"> 13</w:t>
      </w:r>
      <w:r w:rsidR="00EC108B" w:rsidRPr="00EC108B">
        <w:rPr>
          <w:vertAlign w:val="superscript"/>
        </w:rPr>
        <w:t>th</w:t>
      </w:r>
      <w:r w:rsidR="004040A2">
        <w:t>,</w:t>
      </w:r>
      <w:r w:rsidR="00214E6A" w:rsidRPr="00CC0905">
        <w:t xml:space="preserve"> 20</w:t>
      </w:r>
      <w:r w:rsidR="003D2B16">
        <w:t>20</w:t>
      </w:r>
      <w:r w:rsidR="00CD05AE">
        <w:t xml:space="preserve">                                    </w:t>
      </w:r>
      <w:r w:rsidR="0024763F">
        <w:t xml:space="preserve">   </w:t>
      </w:r>
    </w:p>
    <w:p w14:paraId="7AD14354" w14:textId="669D6989"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8D1124">
        <w:rPr>
          <w:sz w:val="22"/>
          <w:szCs w:val="22"/>
          <w:lang w:val="sv-SE"/>
        </w:rPr>
        <w:t>8.15.2</w:t>
      </w:r>
    </w:p>
    <w:p w14:paraId="4910E89F" w14:textId="000652FD" w:rsidR="00214E6A" w:rsidRPr="00853ECC" w:rsidRDefault="00214E6A" w:rsidP="00214E6A">
      <w:pPr>
        <w:pStyle w:val="3GPPHeader"/>
        <w:rPr>
          <w:sz w:val="22"/>
          <w:szCs w:val="22"/>
          <w:lang w:val="en-US"/>
        </w:rPr>
      </w:pPr>
      <w:r w:rsidRPr="00853ECC">
        <w:rPr>
          <w:sz w:val="22"/>
          <w:szCs w:val="22"/>
          <w:lang w:val="en-US"/>
        </w:rPr>
        <w:t>Source:</w:t>
      </w:r>
      <w:r w:rsidRPr="00853ECC">
        <w:rPr>
          <w:sz w:val="22"/>
          <w:szCs w:val="22"/>
          <w:lang w:val="en-US"/>
        </w:rPr>
        <w:tab/>
      </w:r>
      <w:proofErr w:type="spellStart"/>
      <w:r w:rsidRPr="00853ECC">
        <w:rPr>
          <w:sz w:val="22"/>
          <w:szCs w:val="22"/>
          <w:lang w:val="en-US"/>
        </w:rPr>
        <w:t>InterDigital</w:t>
      </w:r>
      <w:proofErr w:type="spellEnd"/>
      <w:r w:rsidR="00DD715F">
        <w:rPr>
          <w:sz w:val="22"/>
          <w:szCs w:val="22"/>
          <w:lang w:val="en-US"/>
        </w:rPr>
        <w:t>, Inc.</w:t>
      </w:r>
    </w:p>
    <w:p w14:paraId="28B90663" w14:textId="23E181D1"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853ECC">
        <w:rPr>
          <w:sz w:val="22"/>
          <w:szCs w:val="22"/>
        </w:rPr>
        <w:t>On necessary changes to support IoT devices in NTN</w:t>
      </w:r>
    </w:p>
    <w:p w14:paraId="5D36C9A6" w14:textId="676EE59D"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1028E0">
        <w:rPr>
          <w:sz w:val="22"/>
          <w:szCs w:val="22"/>
        </w:rPr>
        <w:t xml:space="preserve"> and</w:t>
      </w:r>
      <w:r w:rsidRPr="004A1A95">
        <w:rPr>
          <w:sz w:val="22"/>
          <w:szCs w:val="22"/>
        </w:rPr>
        <w:t xml:space="preserve"> Decision</w:t>
      </w:r>
    </w:p>
    <w:p w14:paraId="19E2BC4D" w14:textId="77777777" w:rsidR="00214E6A" w:rsidRDefault="00214E6A" w:rsidP="00214E6A">
      <w:pPr>
        <w:pStyle w:val="Heading1"/>
      </w:pPr>
      <w:r w:rsidRPr="004A1A95">
        <w:t>Introduction</w:t>
      </w:r>
    </w:p>
    <w:p w14:paraId="699E27D0" w14:textId="72167D61" w:rsidR="00214E6A" w:rsidRDefault="00853ECC" w:rsidP="00FA29D0">
      <w:r>
        <w:t>In RAN#86, a new study item on NB-IoT/</w:t>
      </w:r>
      <w:proofErr w:type="spellStart"/>
      <w:r>
        <w:t>eMTC</w:t>
      </w:r>
      <w:proofErr w:type="spellEnd"/>
      <w:r>
        <w:t xml:space="preserve"> support for non-terrestrial networks was approved with the following RAN1 objectives [</w:t>
      </w:r>
      <w:r w:rsidR="007121AA">
        <w:t>1</w:t>
      </w:r>
      <w:r>
        <w:t>]:</w:t>
      </w:r>
    </w:p>
    <w:p w14:paraId="75319ABB" w14:textId="77777777" w:rsidR="00853ECC" w:rsidRPr="00853ECC" w:rsidRDefault="00853ECC" w:rsidP="00853ECC">
      <w:pPr>
        <w:ind w:left="284"/>
        <w:rPr>
          <w:i/>
        </w:rPr>
      </w:pPr>
      <w:r w:rsidRPr="00853ECC">
        <w:rPr>
          <w:i/>
        </w:rPr>
        <w:t>The first objective of this Study is to identify scenarios applicable to NB-IoT/</w:t>
      </w:r>
      <w:proofErr w:type="spellStart"/>
      <w:r w:rsidRPr="00853ECC">
        <w:rPr>
          <w:i/>
        </w:rPr>
        <w:t>eMTC</w:t>
      </w:r>
      <w:proofErr w:type="spellEnd"/>
      <w:r w:rsidRPr="00853ECC">
        <w:rPr>
          <w:i/>
        </w:rPr>
        <w:t xml:space="preserve"> [RAN1, RAN2], including:</w:t>
      </w:r>
    </w:p>
    <w:p w14:paraId="0B0A00C2" w14:textId="77777777" w:rsidR="00853ECC" w:rsidRPr="00853ECC" w:rsidRDefault="00853ECC" w:rsidP="00853ECC">
      <w:pPr>
        <w:pStyle w:val="B1"/>
        <w:ind w:left="852"/>
        <w:rPr>
          <w:i/>
        </w:rPr>
      </w:pPr>
      <w:r w:rsidRPr="00853ECC">
        <w:rPr>
          <w:i/>
        </w:rPr>
        <w:t>-</w:t>
      </w:r>
      <w:r w:rsidRPr="00853ECC">
        <w:rPr>
          <w:i/>
        </w:rPr>
        <w:tab/>
        <w:t>Bands of interest in sub 6 GHz</w:t>
      </w:r>
    </w:p>
    <w:p w14:paraId="19CBB9AB" w14:textId="77777777" w:rsidR="00853ECC" w:rsidRPr="00853ECC" w:rsidRDefault="00853ECC" w:rsidP="00853ECC">
      <w:pPr>
        <w:pStyle w:val="B1"/>
        <w:ind w:left="852"/>
        <w:rPr>
          <w:i/>
        </w:rPr>
      </w:pPr>
      <w:r w:rsidRPr="00853ECC">
        <w:rPr>
          <w:i/>
        </w:rPr>
        <w:t>-</w:t>
      </w:r>
      <w:r w:rsidRPr="00853ECC">
        <w:rPr>
          <w:i/>
        </w:rPr>
        <w:tab/>
        <w:t xml:space="preserve">Device type with PC3 or PC5 (LEO and GEO) </w:t>
      </w:r>
    </w:p>
    <w:p w14:paraId="379E8886" w14:textId="77777777" w:rsidR="00853ECC" w:rsidRPr="00853ECC" w:rsidRDefault="00853ECC" w:rsidP="00853ECC">
      <w:pPr>
        <w:pStyle w:val="B1"/>
        <w:ind w:left="852"/>
        <w:rPr>
          <w:i/>
        </w:rPr>
      </w:pPr>
      <w:r w:rsidRPr="00853ECC">
        <w:rPr>
          <w:i/>
        </w:rPr>
        <w:t>-</w:t>
      </w:r>
      <w:r w:rsidRPr="00853ECC">
        <w:rPr>
          <w:i/>
        </w:rPr>
        <w:tab/>
        <w:t xml:space="preserve">Satellite constellation orbit LEO and GEO </w:t>
      </w:r>
    </w:p>
    <w:p w14:paraId="57E84762" w14:textId="77777777" w:rsidR="00853ECC" w:rsidRPr="00853ECC" w:rsidRDefault="00853ECC" w:rsidP="00853ECC">
      <w:pPr>
        <w:pStyle w:val="B1"/>
        <w:ind w:left="852"/>
        <w:rPr>
          <w:i/>
        </w:rPr>
      </w:pPr>
      <w:r w:rsidRPr="00853ECC">
        <w:rPr>
          <w:i/>
        </w:rPr>
        <w:t>-</w:t>
      </w:r>
      <w:r w:rsidRPr="00853ECC">
        <w:rPr>
          <w:i/>
        </w:rPr>
        <w:tab/>
        <w:t>Transparent payload.</w:t>
      </w:r>
    </w:p>
    <w:p w14:paraId="0507581E" w14:textId="77777777" w:rsidR="00853ECC" w:rsidRPr="00853ECC" w:rsidRDefault="00853ECC" w:rsidP="00853ECC">
      <w:pPr>
        <w:pStyle w:val="B1"/>
        <w:ind w:left="852"/>
        <w:rPr>
          <w:i/>
        </w:rPr>
      </w:pPr>
      <w:r w:rsidRPr="00853ECC">
        <w:rPr>
          <w:i/>
        </w:rPr>
        <w:t>-</w:t>
      </w:r>
      <w:r w:rsidRPr="00853ECC">
        <w:rPr>
          <w:i/>
        </w:rPr>
        <w:tab/>
        <w:t>Link budget</w:t>
      </w:r>
    </w:p>
    <w:p w14:paraId="05CC1E64" w14:textId="77777777" w:rsidR="00853ECC" w:rsidRPr="00853ECC" w:rsidRDefault="00853ECC" w:rsidP="00853ECC">
      <w:pPr>
        <w:pStyle w:val="NO"/>
        <w:ind w:left="1419"/>
        <w:rPr>
          <w:i/>
        </w:rPr>
      </w:pPr>
      <w:r w:rsidRPr="00853ECC">
        <w:rPr>
          <w:i/>
        </w:rPr>
        <w:t>NOTE 1: This first objective will be based on the scenarios documented in TR 38.821.</w:t>
      </w:r>
    </w:p>
    <w:p w14:paraId="02B68B3E" w14:textId="77777777" w:rsidR="00853ECC" w:rsidRPr="00853ECC" w:rsidRDefault="00853ECC" w:rsidP="00853ECC">
      <w:pPr>
        <w:pStyle w:val="NO"/>
        <w:ind w:left="1419"/>
        <w:rPr>
          <w:i/>
        </w:rPr>
      </w:pPr>
      <w:r w:rsidRPr="00853ECC">
        <w:rPr>
          <w:i/>
        </w:rPr>
        <w:t>NOTE 2: UE mobility assumptions follow terrestrial NB-IoT/</w:t>
      </w:r>
      <w:proofErr w:type="spellStart"/>
      <w:r w:rsidRPr="00853ECC">
        <w:rPr>
          <w:i/>
        </w:rPr>
        <w:t>eMTC</w:t>
      </w:r>
      <w:proofErr w:type="spellEnd"/>
      <w:r w:rsidRPr="00853ECC">
        <w:rPr>
          <w:i/>
        </w:rPr>
        <w:t xml:space="preserve"> assumptions.</w:t>
      </w:r>
    </w:p>
    <w:p w14:paraId="51710785" w14:textId="77777777" w:rsidR="00853ECC" w:rsidRPr="00853ECC" w:rsidRDefault="00853ECC" w:rsidP="00853ECC">
      <w:pPr>
        <w:ind w:left="284"/>
        <w:rPr>
          <w:i/>
        </w:rPr>
      </w:pPr>
      <w:r w:rsidRPr="00853ECC">
        <w:rPr>
          <w:i/>
        </w:rPr>
        <w:t xml:space="preserve">The second objective is, for the above identified scenarios, to study and recommend necessary changes to support NB-IoT and </w:t>
      </w:r>
      <w:proofErr w:type="spellStart"/>
      <w:r w:rsidRPr="00853ECC">
        <w:rPr>
          <w:i/>
        </w:rPr>
        <w:t>eMTC</w:t>
      </w:r>
      <w:proofErr w:type="spellEnd"/>
      <w:r w:rsidRPr="00853ECC">
        <w:rPr>
          <w:i/>
        </w:rPr>
        <w:t xml:space="preserve"> over satellite, reusing as much as possible the conclusions of the studies performed for NR NTN in TR38.821. This objective will address the following items: </w:t>
      </w:r>
    </w:p>
    <w:p w14:paraId="783A656F" w14:textId="77777777" w:rsidR="00853ECC" w:rsidRPr="00853ECC" w:rsidRDefault="00853ECC" w:rsidP="00853ECC">
      <w:pPr>
        <w:pStyle w:val="B1"/>
        <w:ind w:left="852"/>
        <w:rPr>
          <w:i/>
        </w:rPr>
      </w:pPr>
      <w:r w:rsidRPr="00853ECC">
        <w:rPr>
          <w:i/>
        </w:rPr>
        <w:t>-</w:t>
      </w:r>
      <w:r w:rsidRPr="00853ECC">
        <w:rPr>
          <w:i/>
        </w:rPr>
        <w:tab/>
        <w:t>Aspects related to random access procedure/signals [RAN1, RAN2]</w:t>
      </w:r>
    </w:p>
    <w:p w14:paraId="735257A5" w14:textId="77777777" w:rsidR="00853ECC" w:rsidRPr="00853ECC" w:rsidRDefault="00853ECC" w:rsidP="00853ECC">
      <w:pPr>
        <w:pStyle w:val="B1"/>
        <w:ind w:left="852"/>
        <w:rPr>
          <w:i/>
        </w:rPr>
      </w:pPr>
      <w:r w:rsidRPr="00853ECC">
        <w:rPr>
          <w:i/>
        </w:rPr>
        <w:t>-</w:t>
      </w:r>
      <w:r w:rsidRPr="00853ECC">
        <w:rPr>
          <w:i/>
        </w:rPr>
        <w:tab/>
        <w:t>Mechanisms for time/frequency adjustment including Timing Advance, and UL frequency compensation indication [RAN1, RAN2]</w:t>
      </w:r>
    </w:p>
    <w:p w14:paraId="38F94CC1" w14:textId="77777777" w:rsidR="00853ECC" w:rsidRPr="00853ECC" w:rsidRDefault="00853ECC" w:rsidP="00853ECC">
      <w:pPr>
        <w:pStyle w:val="B1"/>
        <w:ind w:left="852"/>
        <w:rPr>
          <w:i/>
        </w:rPr>
      </w:pPr>
      <w:r w:rsidRPr="00853ECC">
        <w:rPr>
          <w:i/>
        </w:rPr>
        <w:t>-</w:t>
      </w:r>
      <w:r w:rsidRPr="00853ECC">
        <w:rPr>
          <w:i/>
        </w:rPr>
        <w:tab/>
        <w:t>Timing offset related to scheduling and HARQ-ACK feedback [RAN1, RAN2]</w:t>
      </w:r>
    </w:p>
    <w:p w14:paraId="4F024CAC" w14:textId="77777777" w:rsidR="00853ECC" w:rsidRPr="00853ECC" w:rsidRDefault="00853ECC" w:rsidP="00853ECC">
      <w:pPr>
        <w:pStyle w:val="B1"/>
        <w:ind w:left="852"/>
        <w:rPr>
          <w:i/>
        </w:rPr>
      </w:pPr>
      <w:r w:rsidRPr="00853ECC">
        <w:rPr>
          <w:i/>
        </w:rPr>
        <w:t>-    Aspects related to HARQ operation [RAN2, RAN1]</w:t>
      </w:r>
    </w:p>
    <w:p w14:paraId="165D7080" w14:textId="5690F1C6" w:rsidR="00853ECC" w:rsidRPr="000C3C1B" w:rsidRDefault="00853ECC" w:rsidP="00FA29D0">
      <w:r>
        <w:t xml:space="preserve">The following contribution will focus on the second objective, </w:t>
      </w:r>
      <w:r w:rsidR="008136B3">
        <w:t>describing</w:t>
      </w:r>
      <w:r>
        <w:t xml:space="preserve"> necessary changes to extend NB-IoT/</w:t>
      </w:r>
      <w:proofErr w:type="spellStart"/>
      <w:r>
        <w:t>eMTC</w:t>
      </w:r>
      <w:proofErr w:type="spellEnd"/>
      <w:r>
        <w:t xml:space="preserve"> to a non-terrestrial environment, and identifying </w:t>
      </w:r>
      <w:r w:rsidR="008136B3">
        <w:t>NTN study conclusions which may be applicable.</w:t>
      </w:r>
    </w:p>
    <w:p w14:paraId="736A3CFD" w14:textId="43708E9F" w:rsidR="00214E6A" w:rsidRDefault="00214E6A" w:rsidP="00214E6A">
      <w:pPr>
        <w:pStyle w:val="Heading1"/>
      </w:pPr>
      <w:r>
        <w:t>Discussion</w:t>
      </w:r>
    </w:p>
    <w:p w14:paraId="2CAC253C" w14:textId="74BCFBCB" w:rsidR="00BB4E5F" w:rsidRDefault="00BB4E5F" w:rsidP="00AB40E1">
      <w:r>
        <w:t>A new SID on NB-IoT/</w:t>
      </w:r>
      <w:proofErr w:type="spellStart"/>
      <w:r>
        <w:t>eMTC</w:t>
      </w:r>
      <w:proofErr w:type="spellEnd"/>
      <w:r>
        <w:t xml:space="preserve"> device support for non-terrestrial networks was approved </w:t>
      </w:r>
      <w:r w:rsidR="00E853EE">
        <w:t xml:space="preserve">in RAN#86 </w:t>
      </w:r>
      <w:r>
        <w:t>to provide IoT operation to remote areas with low or no cellular connectivity. It is expected that such enhancements will support a broad range of industries, including transportation, farming, mining etc.</w:t>
      </w:r>
    </w:p>
    <w:p w14:paraId="657D1254" w14:textId="7F65A054" w:rsidR="00BB4E5F" w:rsidRDefault="005074C9" w:rsidP="00AB40E1">
      <w:pPr>
        <w:rPr>
          <w:lang w:val="en-US"/>
        </w:rPr>
      </w:pPr>
      <w:r>
        <w:t>As described in the NB-IoT/</w:t>
      </w:r>
      <w:proofErr w:type="spellStart"/>
      <w:r>
        <w:t>eMTC</w:t>
      </w:r>
      <w:proofErr w:type="spellEnd"/>
      <w:r>
        <w:t xml:space="preserve"> study item description, </w:t>
      </w:r>
      <w:r w:rsidR="003C25B8">
        <w:t xml:space="preserve">non-terrestrial deployment </w:t>
      </w:r>
      <w:r>
        <w:t>scenarios under consideration consist of both LEO and GEO orbits with transparent payload.</w:t>
      </w:r>
      <w:r w:rsidR="00AB40E1">
        <w:t xml:space="preserve"> </w:t>
      </w:r>
      <w:r w:rsidR="00AB40E1" w:rsidRPr="007B5387">
        <w:rPr>
          <w:lang w:val="en-US"/>
        </w:rPr>
        <w:t xml:space="preserve">GEO deployments are characterized by large propagation delay and cell size, however stationary and approximately fixed relative to a point on earth. Though propagation delay and cell size </w:t>
      </w:r>
      <w:proofErr w:type="gramStart"/>
      <w:r w:rsidR="00AB40E1" w:rsidRPr="007B5387">
        <w:rPr>
          <w:lang w:val="en-US"/>
        </w:rPr>
        <w:t>is</w:t>
      </w:r>
      <w:proofErr w:type="gramEnd"/>
      <w:r w:rsidR="00AB40E1" w:rsidRPr="007B5387">
        <w:rPr>
          <w:lang w:val="en-US"/>
        </w:rPr>
        <w:t xml:space="preserve"> less in LEO deployments, satellites move relative to a fixed point on earth with cells either moving along the ground, or fixed via e.g. beam steering techniques. </w:t>
      </w:r>
      <w:r w:rsidR="00AB40E1">
        <w:rPr>
          <w:lang w:val="en-US"/>
        </w:rPr>
        <w:t xml:space="preserve"> </w:t>
      </w:r>
    </w:p>
    <w:p w14:paraId="477A0EDC" w14:textId="0EE7E98B" w:rsidR="009F6733" w:rsidRDefault="00E853EE" w:rsidP="00AB40E1">
      <w:pPr>
        <w:rPr>
          <w:lang w:val="en-US"/>
        </w:rPr>
      </w:pPr>
      <w:r>
        <w:rPr>
          <w:lang w:val="en-US"/>
        </w:rPr>
        <w:t>K</w:t>
      </w:r>
      <w:r w:rsidR="00C87969">
        <w:rPr>
          <w:lang w:val="en-US"/>
        </w:rPr>
        <w:t>ey modifications to enable terrestrial deployments are</w:t>
      </w:r>
      <w:r w:rsidR="00051E0B">
        <w:rPr>
          <w:lang w:val="en-US"/>
        </w:rPr>
        <w:t xml:space="preserve"> therefore</w:t>
      </w:r>
      <w:r w:rsidR="00C87969">
        <w:rPr>
          <w:lang w:val="en-US"/>
        </w:rPr>
        <w:t xml:space="preserve"> enhanced time compensation techniques </w:t>
      </w:r>
      <w:r w:rsidR="005535D6">
        <w:rPr>
          <w:lang w:val="en-US"/>
        </w:rPr>
        <w:t xml:space="preserve">to accommodate greatly increased propagation delay, and enhanced frequency compensation due to fast moving </w:t>
      </w:r>
      <w:r w:rsidR="005535D6">
        <w:rPr>
          <w:lang w:val="en-US"/>
        </w:rPr>
        <w:lastRenderedPageBreak/>
        <w:t>LEO satellites. Specific values</w:t>
      </w:r>
      <w:r w:rsidR="00BB4E5F">
        <w:rPr>
          <w:lang w:val="en-US"/>
        </w:rPr>
        <w:t xml:space="preserve"> relevant for this contribution are included in Table 1 for reference, however a full description of </w:t>
      </w:r>
      <w:r w:rsidR="009F6733">
        <w:rPr>
          <w:lang w:val="en-US"/>
        </w:rPr>
        <w:t>NR NTN r</w:t>
      </w:r>
      <w:r w:rsidR="00BB4E5F">
        <w:rPr>
          <w:lang w:val="en-US"/>
        </w:rPr>
        <w:t xml:space="preserve">eference scenario parameters </w:t>
      </w:r>
      <w:r w:rsidR="009F6733">
        <w:rPr>
          <w:lang w:val="en-US"/>
        </w:rPr>
        <w:t>is</w:t>
      </w:r>
      <w:r w:rsidR="00BB4E5F">
        <w:rPr>
          <w:lang w:val="en-US"/>
        </w:rPr>
        <w:t xml:space="preserve"> found in Table 4.2-2 in TR 38.821 [</w:t>
      </w:r>
      <w:r w:rsidR="007121AA">
        <w:rPr>
          <w:lang w:val="en-US"/>
        </w:rPr>
        <w:t>2</w:t>
      </w:r>
      <w:r w:rsidR="00BB4E5F">
        <w:rPr>
          <w:lang w:val="en-US"/>
        </w:rPr>
        <w:t>].</w:t>
      </w:r>
    </w:p>
    <w:p w14:paraId="005EADF3" w14:textId="0750C5FB" w:rsidR="005535D6" w:rsidRPr="005535D6" w:rsidRDefault="005535D6" w:rsidP="005535D6">
      <w:pPr>
        <w:jc w:val="center"/>
        <w:rPr>
          <w:b/>
          <w:lang w:val="en-US"/>
        </w:rPr>
      </w:pPr>
      <w:r>
        <w:rPr>
          <w:b/>
          <w:lang w:val="en-US"/>
        </w:rPr>
        <w:t>Table 1</w:t>
      </w:r>
      <w:r w:rsidR="007121AA">
        <w:rPr>
          <w:b/>
          <w:lang w:val="en-US"/>
        </w:rPr>
        <w:t xml:space="preserve"> [2]</w:t>
      </w:r>
      <w:r>
        <w:rPr>
          <w:b/>
          <w:lang w:val="en-US"/>
        </w:rPr>
        <w:t>: Relevant reference parameters for max RTD and Doppler shift.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3"/>
        <w:gridCol w:w="2351"/>
        <w:gridCol w:w="3785"/>
      </w:tblGrid>
      <w:tr w:rsidR="00BB4E5F" w:rsidRPr="00450CE8" w14:paraId="7E3A0A93" w14:textId="77777777" w:rsidTr="009C123F">
        <w:trPr>
          <w:cantSplit/>
          <w:jc w:val="center"/>
        </w:trPr>
        <w:tc>
          <w:tcPr>
            <w:tcW w:w="0" w:type="auto"/>
            <w:shd w:val="clear" w:color="auto" w:fill="auto"/>
            <w:vAlign w:val="center"/>
          </w:tcPr>
          <w:p w14:paraId="2C3EC599" w14:textId="77777777" w:rsidR="00BB4E5F" w:rsidRPr="00450CE8" w:rsidRDefault="00BB4E5F" w:rsidP="009C123F">
            <w:pPr>
              <w:pStyle w:val="TAL"/>
              <w:rPr>
                <w:rFonts w:eastAsia="Calibri"/>
              </w:rPr>
            </w:pPr>
            <w:r w:rsidRPr="00450CE8">
              <w:rPr>
                <w:rFonts w:eastAsia="Calibri"/>
              </w:rPr>
              <w:t>Max Round Trip Delay (propagation delay only)</w:t>
            </w:r>
          </w:p>
        </w:tc>
        <w:tc>
          <w:tcPr>
            <w:tcW w:w="0" w:type="auto"/>
            <w:shd w:val="clear" w:color="auto" w:fill="auto"/>
            <w:vAlign w:val="center"/>
          </w:tcPr>
          <w:p w14:paraId="7F2F5C3D" w14:textId="50A8D601" w:rsidR="00BB4E5F" w:rsidRPr="005535D6" w:rsidRDefault="00BB4E5F" w:rsidP="009C123F">
            <w:pPr>
              <w:pStyle w:val="TAL"/>
              <w:rPr>
                <w:rFonts w:eastAsia="Calibri"/>
              </w:rPr>
            </w:pPr>
            <w:r w:rsidRPr="005535D6">
              <w:rPr>
                <w:rFonts w:eastAsia="Calibri"/>
              </w:rPr>
              <w:t xml:space="preserve">541.46 </w:t>
            </w:r>
            <w:proofErr w:type="spellStart"/>
            <w:r w:rsidRPr="005535D6">
              <w:rPr>
                <w:rFonts w:eastAsia="Calibri"/>
              </w:rPr>
              <w:t>ms</w:t>
            </w:r>
            <w:proofErr w:type="spellEnd"/>
            <w:r w:rsidRPr="005535D6">
              <w:rPr>
                <w:rFonts w:eastAsia="Calibri"/>
              </w:rPr>
              <w:t xml:space="preserve"> (service and feeder links)</w:t>
            </w:r>
          </w:p>
          <w:p w14:paraId="56F2924F" w14:textId="185359CD" w:rsidR="00BB4E5F" w:rsidRPr="005535D6" w:rsidRDefault="00BB4E5F" w:rsidP="009C123F">
            <w:pPr>
              <w:pStyle w:val="TAL"/>
              <w:rPr>
                <w:rFonts w:eastAsia="Calibri"/>
              </w:rPr>
            </w:pPr>
          </w:p>
        </w:tc>
        <w:tc>
          <w:tcPr>
            <w:tcW w:w="0" w:type="auto"/>
            <w:shd w:val="clear" w:color="auto" w:fill="auto"/>
            <w:vAlign w:val="center"/>
          </w:tcPr>
          <w:p w14:paraId="68692FEB" w14:textId="77777777" w:rsidR="00BB4E5F" w:rsidRPr="005535D6" w:rsidRDefault="00BB4E5F" w:rsidP="009C123F">
            <w:pPr>
              <w:pStyle w:val="TAL"/>
              <w:rPr>
                <w:rFonts w:eastAsia="Calibri"/>
              </w:rPr>
            </w:pPr>
            <w:r w:rsidRPr="005535D6">
              <w:rPr>
                <w:rFonts w:eastAsia="Calibri"/>
              </w:rPr>
              <w:t xml:space="preserve">25.77 </w:t>
            </w:r>
            <w:proofErr w:type="spellStart"/>
            <w:r w:rsidRPr="005535D6">
              <w:rPr>
                <w:rFonts w:eastAsia="Calibri"/>
              </w:rPr>
              <w:t>ms</w:t>
            </w:r>
            <w:proofErr w:type="spellEnd"/>
            <w:r w:rsidRPr="005535D6">
              <w:rPr>
                <w:rFonts w:eastAsia="Calibri"/>
              </w:rPr>
              <w:t xml:space="preserve"> (600km)</w:t>
            </w:r>
          </w:p>
          <w:p w14:paraId="26604495" w14:textId="77777777" w:rsidR="00BB4E5F" w:rsidRPr="005535D6" w:rsidRDefault="00BB4E5F" w:rsidP="009C123F">
            <w:pPr>
              <w:pStyle w:val="TAL"/>
              <w:rPr>
                <w:rFonts w:eastAsia="Calibri"/>
              </w:rPr>
            </w:pPr>
            <w:r w:rsidRPr="005535D6">
              <w:rPr>
                <w:rFonts w:eastAsia="Calibri"/>
              </w:rPr>
              <w:t xml:space="preserve">41.77 </w:t>
            </w:r>
            <w:proofErr w:type="spellStart"/>
            <w:r w:rsidRPr="005535D6">
              <w:rPr>
                <w:rFonts w:eastAsia="Calibri"/>
              </w:rPr>
              <w:t>ms</w:t>
            </w:r>
            <w:proofErr w:type="spellEnd"/>
            <w:r w:rsidRPr="005535D6">
              <w:rPr>
                <w:rFonts w:eastAsia="Calibri"/>
              </w:rPr>
              <w:t xml:space="preserve"> (1200km)</w:t>
            </w:r>
          </w:p>
          <w:p w14:paraId="5633C56B" w14:textId="77777777" w:rsidR="00BB4E5F" w:rsidRPr="005535D6" w:rsidRDefault="00BB4E5F" w:rsidP="009C123F">
            <w:pPr>
              <w:pStyle w:val="TAL"/>
              <w:rPr>
                <w:rFonts w:eastAsia="Calibri"/>
              </w:rPr>
            </w:pPr>
          </w:p>
          <w:p w14:paraId="048F0832" w14:textId="3829028B" w:rsidR="00BB4E5F" w:rsidRPr="005535D6" w:rsidRDefault="00BB4E5F" w:rsidP="009C123F">
            <w:pPr>
              <w:pStyle w:val="TAL"/>
            </w:pPr>
          </w:p>
        </w:tc>
      </w:tr>
      <w:tr w:rsidR="00BB4E5F" w:rsidRPr="00450CE8" w14:paraId="2E918A50" w14:textId="77777777" w:rsidTr="009C123F">
        <w:trPr>
          <w:cantSplit/>
          <w:jc w:val="center"/>
        </w:trPr>
        <w:tc>
          <w:tcPr>
            <w:tcW w:w="0" w:type="auto"/>
            <w:shd w:val="clear" w:color="auto" w:fill="auto"/>
            <w:vAlign w:val="center"/>
          </w:tcPr>
          <w:p w14:paraId="13B4B43F" w14:textId="77777777" w:rsidR="00BB4E5F" w:rsidRPr="00450CE8" w:rsidRDefault="00BB4E5F" w:rsidP="009C123F">
            <w:pPr>
              <w:pStyle w:val="TAL"/>
              <w:rPr>
                <w:rFonts w:eastAsia="Calibri"/>
              </w:rPr>
            </w:pPr>
            <w:r w:rsidRPr="00450CE8">
              <w:rPr>
                <w:rFonts w:eastAsia="Calibri"/>
              </w:rPr>
              <w:t>Max differential delay within a cell (Note 6)</w:t>
            </w:r>
          </w:p>
        </w:tc>
        <w:tc>
          <w:tcPr>
            <w:tcW w:w="0" w:type="auto"/>
            <w:shd w:val="clear" w:color="auto" w:fill="auto"/>
            <w:vAlign w:val="center"/>
          </w:tcPr>
          <w:p w14:paraId="16739EB2" w14:textId="77777777" w:rsidR="00BB4E5F" w:rsidRPr="00450CE8" w:rsidRDefault="00BB4E5F" w:rsidP="009C123F">
            <w:pPr>
              <w:pStyle w:val="TAL"/>
              <w:rPr>
                <w:rFonts w:eastAsia="Calibri"/>
              </w:rPr>
            </w:pPr>
            <w:r w:rsidRPr="00450CE8">
              <w:rPr>
                <w:rFonts w:eastAsia="Calibri"/>
              </w:rPr>
              <w:t xml:space="preserve">10.3 </w:t>
            </w:r>
            <w:proofErr w:type="spellStart"/>
            <w:r w:rsidRPr="00450CE8">
              <w:rPr>
                <w:rFonts w:eastAsia="Calibri"/>
              </w:rPr>
              <w:t>ms</w:t>
            </w:r>
            <w:proofErr w:type="spellEnd"/>
          </w:p>
        </w:tc>
        <w:tc>
          <w:tcPr>
            <w:tcW w:w="0" w:type="auto"/>
            <w:shd w:val="clear" w:color="auto" w:fill="auto"/>
            <w:vAlign w:val="center"/>
          </w:tcPr>
          <w:p w14:paraId="6C9BC2EA" w14:textId="77777777" w:rsidR="00BB4E5F" w:rsidRPr="00450CE8" w:rsidRDefault="00BB4E5F" w:rsidP="009C123F">
            <w:pPr>
              <w:pStyle w:val="TAL"/>
              <w:rPr>
                <w:rFonts w:eastAsia="Calibri"/>
              </w:rPr>
            </w:pPr>
            <w:r w:rsidRPr="00450CE8">
              <w:rPr>
                <w:rFonts w:eastAsia="Calibri"/>
              </w:rPr>
              <w:t xml:space="preserve">3.12 </w:t>
            </w:r>
            <w:proofErr w:type="spellStart"/>
            <w:r w:rsidRPr="00450CE8">
              <w:rPr>
                <w:rFonts w:eastAsia="Calibri"/>
              </w:rPr>
              <w:t>ms</w:t>
            </w:r>
            <w:proofErr w:type="spellEnd"/>
            <w:r w:rsidRPr="00450CE8">
              <w:rPr>
                <w:rFonts w:eastAsia="Calibri"/>
              </w:rPr>
              <w:t xml:space="preserve"> and </w:t>
            </w:r>
            <w:r w:rsidRPr="00450CE8">
              <w:t xml:space="preserve">3.18 </w:t>
            </w:r>
            <w:proofErr w:type="spellStart"/>
            <w:r w:rsidRPr="00450CE8">
              <w:t>ms</w:t>
            </w:r>
            <w:proofErr w:type="spellEnd"/>
            <w:r w:rsidRPr="00450CE8">
              <w:rPr>
                <w:rFonts w:eastAsia="Calibri"/>
              </w:rPr>
              <w:t xml:space="preserve"> for respectively 600km and 1200km</w:t>
            </w:r>
          </w:p>
        </w:tc>
      </w:tr>
      <w:tr w:rsidR="00BB4E5F" w:rsidRPr="00450CE8" w14:paraId="52DF327D" w14:textId="77777777" w:rsidTr="009C123F">
        <w:trPr>
          <w:cantSplit/>
          <w:jc w:val="center"/>
        </w:trPr>
        <w:tc>
          <w:tcPr>
            <w:tcW w:w="0" w:type="auto"/>
            <w:shd w:val="clear" w:color="auto" w:fill="auto"/>
            <w:vAlign w:val="center"/>
          </w:tcPr>
          <w:p w14:paraId="2073E9EB" w14:textId="77777777" w:rsidR="00BB4E5F" w:rsidRPr="00450CE8" w:rsidRDefault="00BB4E5F" w:rsidP="009C123F">
            <w:pPr>
              <w:pStyle w:val="TAL"/>
              <w:rPr>
                <w:rFonts w:eastAsia="Calibri"/>
              </w:rPr>
            </w:pPr>
            <w:r w:rsidRPr="00450CE8">
              <w:rPr>
                <w:rFonts w:eastAsia="Calibri"/>
              </w:rPr>
              <w:t>Max Doppler shift (earth fixed user equipment)</w:t>
            </w:r>
          </w:p>
        </w:tc>
        <w:tc>
          <w:tcPr>
            <w:tcW w:w="0" w:type="auto"/>
            <w:shd w:val="clear" w:color="auto" w:fill="auto"/>
            <w:vAlign w:val="center"/>
          </w:tcPr>
          <w:p w14:paraId="19E1A175" w14:textId="77777777" w:rsidR="00BB4E5F" w:rsidRPr="00450CE8" w:rsidRDefault="00BB4E5F" w:rsidP="009C123F">
            <w:pPr>
              <w:pStyle w:val="TAL"/>
              <w:rPr>
                <w:rFonts w:eastAsia="Calibri"/>
              </w:rPr>
            </w:pPr>
            <w:r w:rsidRPr="00450CE8">
              <w:rPr>
                <w:rFonts w:eastAsia="Calibri"/>
              </w:rPr>
              <w:t>0.93 ppm</w:t>
            </w:r>
          </w:p>
        </w:tc>
        <w:tc>
          <w:tcPr>
            <w:tcW w:w="0" w:type="auto"/>
            <w:shd w:val="clear" w:color="auto" w:fill="auto"/>
            <w:vAlign w:val="center"/>
          </w:tcPr>
          <w:p w14:paraId="7FFBCB1C" w14:textId="77777777" w:rsidR="00BB4E5F" w:rsidRPr="00450CE8" w:rsidRDefault="00BB4E5F" w:rsidP="009C123F">
            <w:pPr>
              <w:pStyle w:val="TAL"/>
              <w:rPr>
                <w:rFonts w:eastAsia="Calibri"/>
              </w:rPr>
            </w:pPr>
            <w:r w:rsidRPr="00450CE8">
              <w:rPr>
                <w:rFonts w:eastAsia="Calibri"/>
              </w:rPr>
              <w:t>24 ppm (600km)</w:t>
            </w:r>
          </w:p>
          <w:p w14:paraId="79ABE78E" w14:textId="77777777" w:rsidR="00BB4E5F" w:rsidRPr="00450CE8" w:rsidRDefault="00BB4E5F" w:rsidP="009C123F">
            <w:pPr>
              <w:pStyle w:val="TAL"/>
              <w:rPr>
                <w:rFonts w:eastAsia="Calibri"/>
              </w:rPr>
            </w:pPr>
            <w:r w:rsidRPr="00450CE8">
              <w:rPr>
                <w:rFonts w:eastAsia="Calibri"/>
              </w:rPr>
              <w:t xml:space="preserve">21ppm(1200km) </w:t>
            </w:r>
          </w:p>
        </w:tc>
      </w:tr>
      <w:tr w:rsidR="00BB4E5F" w:rsidRPr="00450CE8" w14:paraId="339E1DC2" w14:textId="77777777" w:rsidTr="009C123F">
        <w:trPr>
          <w:cantSplit/>
          <w:jc w:val="center"/>
        </w:trPr>
        <w:tc>
          <w:tcPr>
            <w:tcW w:w="0" w:type="auto"/>
            <w:shd w:val="clear" w:color="auto" w:fill="auto"/>
            <w:vAlign w:val="center"/>
          </w:tcPr>
          <w:p w14:paraId="57A0C1A5" w14:textId="77777777" w:rsidR="00BB4E5F" w:rsidRPr="00450CE8" w:rsidRDefault="00BB4E5F" w:rsidP="009C123F">
            <w:pPr>
              <w:pStyle w:val="TAL"/>
              <w:rPr>
                <w:rFonts w:eastAsia="Calibri"/>
              </w:rPr>
            </w:pPr>
            <w:r w:rsidRPr="00450CE8">
              <w:rPr>
                <w:rFonts w:eastAsia="Calibri"/>
              </w:rPr>
              <w:t>Max Doppler shift variation (earth fixed user equipment)</w:t>
            </w:r>
          </w:p>
        </w:tc>
        <w:tc>
          <w:tcPr>
            <w:tcW w:w="0" w:type="auto"/>
            <w:shd w:val="clear" w:color="auto" w:fill="auto"/>
            <w:vAlign w:val="center"/>
          </w:tcPr>
          <w:p w14:paraId="4D31C7C8" w14:textId="77777777" w:rsidR="00BB4E5F" w:rsidRPr="00450CE8" w:rsidRDefault="00BB4E5F" w:rsidP="009C123F">
            <w:pPr>
              <w:pStyle w:val="TAL"/>
              <w:rPr>
                <w:rFonts w:eastAsia="Calibri"/>
              </w:rPr>
            </w:pPr>
            <w:r w:rsidRPr="00450CE8">
              <w:rPr>
                <w:rFonts w:eastAsia="Calibri"/>
              </w:rPr>
              <w:t xml:space="preserve">0.000 045 ppm/s </w:t>
            </w:r>
          </w:p>
        </w:tc>
        <w:tc>
          <w:tcPr>
            <w:tcW w:w="0" w:type="auto"/>
            <w:shd w:val="clear" w:color="auto" w:fill="auto"/>
            <w:vAlign w:val="center"/>
          </w:tcPr>
          <w:p w14:paraId="09CA32A1" w14:textId="77777777" w:rsidR="00BB4E5F" w:rsidRPr="00450CE8" w:rsidRDefault="00BB4E5F" w:rsidP="009C123F">
            <w:pPr>
              <w:pStyle w:val="TAL"/>
              <w:rPr>
                <w:rFonts w:eastAsia="Calibri"/>
              </w:rPr>
            </w:pPr>
            <w:r w:rsidRPr="00450CE8">
              <w:rPr>
                <w:rFonts w:eastAsia="Calibri"/>
              </w:rPr>
              <w:t>0.27ppm/s (600km)</w:t>
            </w:r>
          </w:p>
          <w:p w14:paraId="2D04FE57" w14:textId="77777777" w:rsidR="00BB4E5F" w:rsidRPr="00450CE8" w:rsidRDefault="00BB4E5F" w:rsidP="009C123F">
            <w:pPr>
              <w:pStyle w:val="TAL"/>
              <w:rPr>
                <w:rFonts w:eastAsia="Calibri"/>
              </w:rPr>
            </w:pPr>
            <w:r w:rsidRPr="00450CE8">
              <w:rPr>
                <w:rFonts w:eastAsia="Calibri"/>
              </w:rPr>
              <w:t>0.13ppm/s(1200km)</w:t>
            </w:r>
          </w:p>
        </w:tc>
      </w:tr>
    </w:tbl>
    <w:p w14:paraId="4B262AE5" w14:textId="500011B7" w:rsidR="00C6277A" w:rsidRDefault="00CD3AD6" w:rsidP="00EF078A">
      <w:pPr>
        <w:pStyle w:val="Heading2"/>
      </w:pPr>
      <w:r>
        <w:t>UL synchronization</w:t>
      </w:r>
    </w:p>
    <w:p w14:paraId="483A1E9C" w14:textId="16C0A280" w:rsidR="00C6277A" w:rsidRDefault="00916484" w:rsidP="002E48AE">
      <w:r>
        <w:t>Mechanisms for time/frequency compensation in non-terrestrial networks are currently under discussion in RAN1 for the Rel-17 NR NTN WI.</w:t>
      </w:r>
      <w:r w:rsidR="00A53593">
        <w:t xml:space="preserve"> As per agreement in RAN1#102</w:t>
      </w:r>
      <w:r w:rsidR="00C861AE">
        <w:t xml:space="preserve"> [</w:t>
      </w:r>
      <w:r w:rsidR="00975245">
        <w:t>3</w:t>
      </w:r>
      <w:r w:rsidR="00C861AE">
        <w:t>]</w:t>
      </w:r>
      <w:r w:rsidR="00A53593">
        <w:t xml:space="preserve">, the </w:t>
      </w:r>
      <w:r w:rsidR="00C861AE">
        <w:t>following solution options for time/frequency compensation have been captured:</w:t>
      </w:r>
    </w:p>
    <w:p w14:paraId="772F3D06" w14:textId="77777777" w:rsidR="00C861AE" w:rsidRDefault="00C861AE" w:rsidP="00C861AE">
      <w:pPr>
        <w:ind w:left="360"/>
        <w:rPr>
          <w:i/>
          <w:lang w:val="en-US"/>
        </w:rPr>
      </w:pPr>
      <w:r>
        <w:rPr>
          <w:i/>
          <w:highlight w:val="green"/>
          <w:lang w:val="en-US"/>
        </w:rPr>
        <w:t>Agreement:</w:t>
      </w:r>
    </w:p>
    <w:p w14:paraId="6A450989" w14:textId="77777777" w:rsidR="00C861AE" w:rsidRDefault="00C861AE" w:rsidP="00C861AE">
      <w:pPr>
        <w:numPr>
          <w:ilvl w:val="0"/>
          <w:numId w:val="15"/>
        </w:numPr>
        <w:overflowPunct/>
        <w:autoSpaceDE/>
        <w:autoSpaceDN/>
        <w:adjustRightInd/>
        <w:spacing w:after="0"/>
        <w:ind w:left="1080"/>
        <w:jc w:val="left"/>
        <w:textAlignment w:val="auto"/>
        <w:rPr>
          <w:i/>
        </w:rPr>
      </w:pPr>
      <w:r>
        <w:rPr>
          <w:i/>
        </w:rPr>
        <w:t>In Rel-17 NR NTN, at least support UE which can derive based on its GNSS implementation one or more of:</w:t>
      </w:r>
    </w:p>
    <w:p w14:paraId="758BBE6F" w14:textId="77777777" w:rsidR="00C861AE" w:rsidRDefault="00C861AE" w:rsidP="00C861AE">
      <w:pPr>
        <w:numPr>
          <w:ilvl w:val="1"/>
          <w:numId w:val="15"/>
        </w:numPr>
        <w:overflowPunct/>
        <w:autoSpaceDE/>
        <w:autoSpaceDN/>
        <w:adjustRightInd/>
        <w:spacing w:after="0"/>
        <w:ind w:left="1800"/>
        <w:jc w:val="left"/>
        <w:textAlignment w:val="auto"/>
        <w:rPr>
          <w:i/>
        </w:rPr>
      </w:pPr>
      <w:r>
        <w:rPr>
          <w:i/>
        </w:rPr>
        <w:t xml:space="preserve">its position </w:t>
      </w:r>
    </w:p>
    <w:p w14:paraId="0D159739" w14:textId="77777777" w:rsidR="00C861AE" w:rsidRDefault="00C861AE" w:rsidP="00C861AE">
      <w:pPr>
        <w:numPr>
          <w:ilvl w:val="1"/>
          <w:numId w:val="15"/>
        </w:numPr>
        <w:overflowPunct/>
        <w:autoSpaceDE/>
        <w:autoSpaceDN/>
        <w:adjustRightInd/>
        <w:spacing w:after="0"/>
        <w:ind w:left="1800"/>
        <w:jc w:val="left"/>
        <w:textAlignment w:val="auto"/>
        <w:rPr>
          <w:i/>
        </w:rPr>
      </w:pPr>
      <w:r>
        <w:rPr>
          <w:i/>
        </w:rPr>
        <w:t>a reference time and frequency</w:t>
      </w:r>
    </w:p>
    <w:p w14:paraId="10571298" w14:textId="77777777" w:rsidR="00C861AE" w:rsidRDefault="00C861AE" w:rsidP="00C861AE">
      <w:pPr>
        <w:numPr>
          <w:ilvl w:val="0"/>
          <w:numId w:val="15"/>
        </w:numPr>
        <w:overflowPunct/>
        <w:autoSpaceDE/>
        <w:autoSpaceDN/>
        <w:adjustRightInd/>
        <w:spacing w:after="0"/>
        <w:ind w:left="1080"/>
        <w:jc w:val="left"/>
        <w:textAlignment w:val="auto"/>
        <w:rPr>
          <w:i/>
        </w:rPr>
      </w:pPr>
      <w:r>
        <w:rPr>
          <w:i/>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7770FD20" w14:textId="77777777" w:rsidR="00C861AE" w:rsidRDefault="00C861AE" w:rsidP="00C861AE">
      <w:pPr>
        <w:pStyle w:val="ListParagraph"/>
        <w:numPr>
          <w:ilvl w:val="1"/>
          <w:numId w:val="15"/>
        </w:numPr>
        <w:rPr>
          <w:rFonts w:ascii="Arial" w:hAnsi="Arial" w:cs="Arial"/>
          <w:i/>
        </w:rPr>
      </w:pPr>
      <w:r>
        <w:rPr>
          <w:rFonts w:ascii="Arial" w:hAnsi="Arial" w:cs="Arial"/>
          <w:i/>
          <w:sz w:val="20"/>
        </w:rPr>
        <w:t xml:space="preserve">FFS:  Details on additional information </w:t>
      </w:r>
      <w:proofErr w:type="spellStart"/>
      <w:r>
        <w:rPr>
          <w:rFonts w:ascii="Arial" w:hAnsi="Arial" w:cs="Arial"/>
          <w:i/>
          <w:sz w:val="20"/>
        </w:rPr>
        <w:t>signalled</w:t>
      </w:r>
      <w:proofErr w:type="spellEnd"/>
      <w:r>
        <w:rPr>
          <w:rFonts w:ascii="Arial" w:hAnsi="Arial" w:cs="Arial"/>
          <w:i/>
          <w:sz w:val="20"/>
        </w:rPr>
        <w:t xml:space="preserve"> from network</w:t>
      </w:r>
    </w:p>
    <w:p w14:paraId="44AB9F66" w14:textId="77777777" w:rsidR="00C861AE" w:rsidRDefault="00C861AE" w:rsidP="00C861AE">
      <w:pPr>
        <w:ind w:left="360"/>
        <w:rPr>
          <w:i/>
          <w:lang w:val="en-US"/>
        </w:rPr>
      </w:pPr>
      <w:r>
        <w:rPr>
          <w:i/>
          <w:highlight w:val="green"/>
          <w:lang w:val="en-US"/>
        </w:rPr>
        <w:t>Agreement:</w:t>
      </w:r>
    </w:p>
    <w:p w14:paraId="070EDFC1" w14:textId="77777777" w:rsidR="00C861AE" w:rsidRDefault="00C861AE" w:rsidP="00C861AE">
      <w:pPr>
        <w:ind w:left="360"/>
        <w:rPr>
          <w:i/>
          <w:lang w:val="en-US"/>
        </w:rPr>
      </w:pPr>
      <w:r>
        <w:rPr>
          <w:i/>
          <w:lang w:val="en-US"/>
        </w:rPr>
        <w:t>In case of GNSS-assisted TA acquisition in RRC idle/inactive mode, the UE calculates its TA based on the following potential contributions:</w:t>
      </w:r>
    </w:p>
    <w:p w14:paraId="60AA9E77" w14:textId="77777777" w:rsidR="00C861AE" w:rsidRDefault="00C861AE" w:rsidP="00C861AE">
      <w:pPr>
        <w:numPr>
          <w:ilvl w:val="0"/>
          <w:numId w:val="15"/>
        </w:numPr>
        <w:overflowPunct/>
        <w:autoSpaceDE/>
        <w:autoSpaceDN/>
        <w:adjustRightInd/>
        <w:spacing w:after="0"/>
        <w:ind w:left="1080"/>
        <w:jc w:val="left"/>
        <w:textAlignment w:val="auto"/>
        <w:rPr>
          <w:i/>
        </w:rPr>
      </w:pPr>
      <w:r>
        <w:rPr>
          <w:i/>
        </w:rPr>
        <w:t>The User specific TA which is estimated by the UE:</w:t>
      </w:r>
    </w:p>
    <w:p w14:paraId="0C8E33A5" w14:textId="77777777" w:rsidR="00C861AE" w:rsidRDefault="00C861AE" w:rsidP="00C861AE">
      <w:pPr>
        <w:numPr>
          <w:ilvl w:val="1"/>
          <w:numId w:val="15"/>
        </w:numPr>
        <w:overflowPunct/>
        <w:autoSpaceDE/>
        <w:autoSpaceDN/>
        <w:adjustRightInd/>
        <w:spacing w:after="0"/>
        <w:ind w:left="1800"/>
        <w:jc w:val="left"/>
        <w:textAlignment w:val="auto"/>
        <w:rPr>
          <w:i/>
        </w:rPr>
      </w:pPr>
      <w:r>
        <w:rPr>
          <w:i/>
        </w:rPr>
        <w:t>Option 1: The User specific TA is estimated by the UE based on its GNSS acquired position together with the serving satellite ephemeris indicated by the network:</w:t>
      </w:r>
    </w:p>
    <w:p w14:paraId="465FF072" w14:textId="77777777" w:rsidR="00C861AE" w:rsidRDefault="00C861AE" w:rsidP="00C861AE">
      <w:pPr>
        <w:numPr>
          <w:ilvl w:val="2"/>
          <w:numId w:val="15"/>
        </w:numPr>
        <w:overflowPunct/>
        <w:autoSpaceDE/>
        <w:autoSpaceDN/>
        <w:adjustRightInd/>
        <w:spacing w:after="0"/>
        <w:ind w:left="2520"/>
        <w:jc w:val="left"/>
        <w:textAlignment w:val="auto"/>
        <w:rPr>
          <w:i/>
        </w:rPr>
      </w:pPr>
      <w:r>
        <w:rPr>
          <w:i/>
        </w:rPr>
        <w:t xml:space="preserve">FFS: Details on serving satellite ephemeris indication </w:t>
      </w:r>
    </w:p>
    <w:p w14:paraId="69982565" w14:textId="77777777" w:rsidR="00C861AE" w:rsidRDefault="00C861AE" w:rsidP="00C861AE">
      <w:pPr>
        <w:numPr>
          <w:ilvl w:val="1"/>
          <w:numId w:val="15"/>
        </w:numPr>
        <w:overflowPunct/>
        <w:autoSpaceDE/>
        <w:autoSpaceDN/>
        <w:adjustRightInd/>
        <w:spacing w:after="0"/>
        <w:ind w:left="1800"/>
        <w:jc w:val="left"/>
        <w:textAlignment w:val="auto"/>
      </w:pPr>
      <w:r>
        <w:rPr>
          <w:i/>
        </w:rPr>
        <w:t xml:space="preserve">Option 2: The User specific </w:t>
      </w:r>
      <w:proofErr w:type="gramStart"/>
      <w:r>
        <w:rPr>
          <w:i/>
        </w:rPr>
        <w:t>TA  is</w:t>
      </w:r>
      <w:proofErr w:type="gramEnd"/>
      <w:r>
        <w:rPr>
          <w:i/>
        </w:rPr>
        <w:t xml:space="preserve"> estimated by the UE based on the GNSS acquired reference time at UE together with reference time as indicated by the networ</w:t>
      </w:r>
      <w:r>
        <w:t>k</w:t>
      </w:r>
    </w:p>
    <w:p w14:paraId="0CDF87AF" w14:textId="77777777" w:rsidR="00C861AE" w:rsidRDefault="00C861AE" w:rsidP="00C861AE">
      <w:pPr>
        <w:numPr>
          <w:ilvl w:val="0"/>
          <w:numId w:val="15"/>
        </w:numPr>
        <w:overflowPunct/>
        <w:autoSpaceDE/>
        <w:autoSpaceDN/>
        <w:adjustRightInd/>
        <w:spacing w:after="0"/>
        <w:jc w:val="left"/>
        <w:textAlignment w:val="auto"/>
        <w:rPr>
          <w:i/>
        </w:rPr>
      </w:pPr>
      <w:r>
        <w:rPr>
          <w:i/>
        </w:rPr>
        <w:t>The Common TA if indicated by the network:</w:t>
      </w:r>
    </w:p>
    <w:p w14:paraId="7664FEF1" w14:textId="77777777" w:rsidR="00C861AE" w:rsidRDefault="00C861AE" w:rsidP="00C861AE">
      <w:pPr>
        <w:pStyle w:val="ListParagraph"/>
        <w:numPr>
          <w:ilvl w:val="1"/>
          <w:numId w:val="15"/>
        </w:numPr>
        <w:rPr>
          <w:rFonts w:ascii="Arial" w:hAnsi="Arial" w:cs="Arial"/>
          <w:i/>
          <w:sz w:val="20"/>
        </w:rPr>
      </w:pPr>
      <w:r>
        <w:rPr>
          <w:rFonts w:ascii="Arial" w:hAnsi="Arial" w:cs="Arial"/>
          <w:i/>
          <w:sz w:val="20"/>
        </w:rPr>
        <w:t>FFS: The need and details of Common TA indication</w:t>
      </w:r>
    </w:p>
    <w:p w14:paraId="1B955080" w14:textId="77777777" w:rsidR="00C861AE" w:rsidRPr="004348A6" w:rsidRDefault="00C861AE" w:rsidP="004348A6">
      <w:pPr>
        <w:pStyle w:val="ListParagraph"/>
        <w:numPr>
          <w:ilvl w:val="0"/>
          <w:numId w:val="15"/>
        </w:numPr>
        <w:rPr>
          <w:rFonts w:ascii="Arial" w:hAnsi="Arial" w:cs="Arial"/>
          <w:i/>
          <w:sz w:val="20"/>
        </w:rPr>
      </w:pPr>
      <w:r w:rsidRPr="004348A6">
        <w:rPr>
          <w:rFonts w:ascii="Arial" w:hAnsi="Arial" w:cs="Arial"/>
          <w:i/>
          <w:sz w:val="20"/>
        </w:rPr>
        <w:t>FFS: The TA margin, if needed and indicated by the network (in order to account for the TA estimation uncertainty)</w:t>
      </w:r>
    </w:p>
    <w:p w14:paraId="4970E372" w14:textId="2F408B20" w:rsidR="0071162D" w:rsidRDefault="0071162D" w:rsidP="0071162D">
      <w:r>
        <w:t xml:space="preserve">For timing pre-compensation in NR, as per the above agreements, two solutions have been identified: </w:t>
      </w:r>
    </w:p>
    <w:p w14:paraId="12DF36D0" w14:textId="43175074" w:rsidR="0071162D" w:rsidRPr="0071162D" w:rsidRDefault="0071162D" w:rsidP="0071162D">
      <w:pPr>
        <w:pStyle w:val="ListParagraph"/>
        <w:numPr>
          <w:ilvl w:val="0"/>
          <w:numId w:val="16"/>
        </w:numPr>
        <w:rPr>
          <w:rFonts w:ascii="Arial" w:hAnsi="Arial" w:cs="Arial"/>
          <w:sz w:val="20"/>
        </w:rPr>
      </w:pPr>
      <w:r w:rsidRPr="0071162D">
        <w:rPr>
          <w:rFonts w:ascii="Arial" w:hAnsi="Arial" w:cs="Arial"/>
          <w:b/>
          <w:sz w:val="20"/>
        </w:rPr>
        <w:t>Option 1</w:t>
      </w:r>
      <w:r>
        <w:rPr>
          <w:rFonts w:ascii="Arial" w:hAnsi="Arial" w:cs="Arial"/>
          <w:b/>
          <w:sz w:val="20"/>
        </w:rPr>
        <w:t>:</w:t>
      </w:r>
      <w:r w:rsidRPr="0071162D">
        <w:rPr>
          <w:rFonts w:ascii="Arial" w:hAnsi="Arial" w:cs="Arial"/>
          <w:b/>
          <w:sz w:val="20"/>
        </w:rPr>
        <w:t xml:space="preserve"> </w:t>
      </w:r>
      <w:r w:rsidR="00D0777D" w:rsidRPr="00D0777D">
        <w:rPr>
          <w:rFonts w:ascii="Arial" w:hAnsi="Arial" w:cs="Arial"/>
          <w:sz w:val="20"/>
        </w:rPr>
        <w:t xml:space="preserve">UE </w:t>
      </w:r>
      <w:r w:rsidRPr="0071162D">
        <w:rPr>
          <w:rFonts w:ascii="Arial" w:hAnsi="Arial" w:cs="Arial"/>
          <w:sz w:val="20"/>
        </w:rPr>
        <w:t>obtains location information f</w:t>
      </w:r>
      <w:r w:rsidR="00D0777D">
        <w:rPr>
          <w:rFonts w:ascii="Arial" w:hAnsi="Arial" w:cs="Arial"/>
          <w:sz w:val="20"/>
        </w:rPr>
        <w:t>or</w:t>
      </w:r>
      <w:r w:rsidRPr="0071162D">
        <w:rPr>
          <w:rFonts w:ascii="Arial" w:hAnsi="Arial" w:cs="Arial"/>
          <w:sz w:val="20"/>
        </w:rPr>
        <w:t xml:space="preserve"> both the UE (via GNSS) and satellite (via satellite ephemeris), </w:t>
      </w:r>
      <w:r w:rsidR="00D0777D">
        <w:rPr>
          <w:rFonts w:ascii="Arial" w:hAnsi="Arial" w:cs="Arial"/>
          <w:sz w:val="20"/>
        </w:rPr>
        <w:t xml:space="preserve">and </w:t>
      </w:r>
      <w:r w:rsidRPr="0071162D">
        <w:rPr>
          <w:rFonts w:ascii="Arial" w:hAnsi="Arial" w:cs="Arial"/>
          <w:sz w:val="20"/>
        </w:rPr>
        <w:t xml:space="preserve">estimates the delay using UE-satellite distance. </w:t>
      </w:r>
    </w:p>
    <w:p w14:paraId="200450A9" w14:textId="6E0E360E" w:rsidR="0071162D" w:rsidRPr="0071162D" w:rsidRDefault="0071162D" w:rsidP="0071162D">
      <w:pPr>
        <w:pStyle w:val="ListParagraph"/>
        <w:numPr>
          <w:ilvl w:val="0"/>
          <w:numId w:val="16"/>
        </w:numPr>
        <w:rPr>
          <w:rFonts w:ascii="Arial" w:hAnsi="Arial" w:cs="Arial"/>
          <w:sz w:val="20"/>
        </w:rPr>
      </w:pPr>
      <w:r w:rsidRPr="0071162D">
        <w:rPr>
          <w:rFonts w:ascii="Arial" w:hAnsi="Arial" w:cs="Arial"/>
          <w:b/>
          <w:sz w:val="20"/>
        </w:rPr>
        <w:t>Option 2</w:t>
      </w:r>
      <w:r>
        <w:rPr>
          <w:rFonts w:ascii="Arial" w:hAnsi="Arial" w:cs="Arial"/>
          <w:b/>
          <w:sz w:val="20"/>
        </w:rPr>
        <w:t>:</w:t>
      </w:r>
      <w:r w:rsidRPr="0071162D">
        <w:rPr>
          <w:rFonts w:ascii="Arial" w:hAnsi="Arial" w:cs="Arial"/>
          <w:b/>
          <w:sz w:val="20"/>
        </w:rPr>
        <w:t xml:space="preserve"> </w:t>
      </w:r>
      <w:r w:rsidR="00B91C51" w:rsidRPr="00B91C51">
        <w:rPr>
          <w:rFonts w:ascii="Arial" w:hAnsi="Arial" w:cs="Arial"/>
          <w:sz w:val="20"/>
        </w:rPr>
        <w:t>u</w:t>
      </w:r>
      <w:r w:rsidRPr="0071162D">
        <w:rPr>
          <w:rFonts w:ascii="Arial" w:hAnsi="Arial" w:cs="Arial"/>
          <w:sz w:val="20"/>
        </w:rPr>
        <w:t xml:space="preserve">tilizes the IE </w:t>
      </w:r>
      <w:r w:rsidRPr="0071162D">
        <w:rPr>
          <w:rFonts w:ascii="Arial" w:hAnsi="Arial" w:cs="Arial"/>
          <w:i/>
          <w:sz w:val="20"/>
        </w:rPr>
        <w:t>referenceTimeInfo-r16</w:t>
      </w:r>
      <w:r w:rsidRPr="0071162D">
        <w:rPr>
          <w:rFonts w:ascii="Arial" w:hAnsi="Arial" w:cs="Arial"/>
          <w:sz w:val="20"/>
        </w:rPr>
        <w:t xml:space="preserve"> in SIB9 to provide a timestamp of when the SIB leaves the gNB. Upon reception, the UE compares its current GNSS timing to that provided in the timestamp, providing an estimate of the full RTD between the UE and gNB. An illustration of the delay components of each solution is provided in Figure 1.</w:t>
      </w:r>
    </w:p>
    <w:p w14:paraId="1264E1FB" w14:textId="74CA3347" w:rsidR="00EB1962" w:rsidRDefault="00EB1962" w:rsidP="00EB1962">
      <w:r>
        <w:t xml:space="preserve">Referring to SID, GNSS capability in the UE is taken as a working assumption for both NB-IoT and </w:t>
      </w:r>
      <w:proofErr w:type="spellStart"/>
      <w:r>
        <w:t>eMTC</w:t>
      </w:r>
      <w:proofErr w:type="spellEnd"/>
      <w:r>
        <w:t xml:space="preserve"> devices. Given the fundamental importance of satellite ephemeris in many different aspects of NR NTN such as pre-compensation, cell (re)selection and mobility, it is assumed that ephemeris data will also be available when supporting NB-IoT/</w:t>
      </w:r>
      <w:proofErr w:type="spellStart"/>
      <w:r>
        <w:t>eMTC</w:t>
      </w:r>
      <w:proofErr w:type="spellEnd"/>
      <w:r>
        <w:t>.</w:t>
      </w:r>
    </w:p>
    <w:p w14:paraId="04B7F37A" w14:textId="110F48B4" w:rsidR="0071162D" w:rsidRDefault="0071162D" w:rsidP="0071162D"/>
    <w:p w14:paraId="184672B3" w14:textId="77777777" w:rsidR="0071162D" w:rsidRDefault="0071162D" w:rsidP="0071162D">
      <w:pPr>
        <w:jc w:val="center"/>
      </w:pPr>
      <w:r>
        <w:rPr>
          <w:noProof/>
        </w:rPr>
        <w:lastRenderedPageBreak/>
        <w:drawing>
          <wp:inline distT="0" distB="0" distL="0" distR="0" wp14:anchorId="51BB5117" wp14:editId="1A22BDEB">
            <wp:extent cx="4010025" cy="1619153"/>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53910" cy="1636873"/>
                    </a:xfrm>
                    <a:prstGeom prst="rect">
                      <a:avLst/>
                    </a:prstGeom>
                  </pic:spPr>
                </pic:pic>
              </a:graphicData>
            </a:graphic>
          </wp:inline>
        </w:drawing>
      </w:r>
    </w:p>
    <w:p w14:paraId="61AB0C26" w14:textId="77777777" w:rsidR="0071162D" w:rsidRPr="00874B1A" w:rsidRDefault="0071162D" w:rsidP="0071162D">
      <w:pPr>
        <w:jc w:val="center"/>
        <w:rPr>
          <w:b/>
        </w:rPr>
      </w:pPr>
      <w:r>
        <w:rPr>
          <w:b/>
        </w:rPr>
        <w:t>Figure 1: Illustration of GNSS-assisted TA acquisition solutions based on RAN1 agreements</w:t>
      </w:r>
    </w:p>
    <w:p w14:paraId="47F37309" w14:textId="3D959D1F" w:rsidR="009F6733" w:rsidRDefault="009F6733" w:rsidP="009F6733">
      <w:pPr>
        <w:rPr>
          <w:noProof/>
        </w:rPr>
      </w:pPr>
      <w:r>
        <w:t xml:space="preserve">The NR </w:t>
      </w:r>
      <w:r w:rsidRPr="0071162D">
        <w:rPr>
          <w:rFonts w:cs="Arial"/>
        </w:rPr>
        <w:t xml:space="preserve">IE </w:t>
      </w:r>
      <w:r w:rsidRPr="0071162D">
        <w:rPr>
          <w:rFonts w:cs="Arial"/>
          <w:i/>
        </w:rPr>
        <w:t>referenceTimeInfo-r16</w:t>
      </w:r>
      <w:r>
        <w:rPr>
          <w:rFonts w:cs="Arial"/>
        </w:rPr>
        <w:t xml:space="preserve"> in SIB9 was introduced in the Rel-16 </w:t>
      </w:r>
      <w:proofErr w:type="spellStart"/>
      <w:r>
        <w:rPr>
          <w:rFonts w:cs="Arial"/>
        </w:rPr>
        <w:t>IIoT</w:t>
      </w:r>
      <w:proofErr w:type="spellEnd"/>
      <w:r>
        <w:rPr>
          <w:rFonts w:cs="Arial"/>
        </w:rPr>
        <w:t xml:space="preserve"> work item to support the tight synchronization requirements of time sensitive communications (TSC). Although not as precise (i.e. granularity of </w:t>
      </w:r>
      <w:r w:rsidR="00B91C51">
        <w:rPr>
          <w:rFonts w:cs="Arial"/>
        </w:rPr>
        <w:t xml:space="preserve">25 </w:t>
      </w:r>
      <w:r>
        <w:rPr>
          <w:rFonts w:cs="Arial"/>
        </w:rPr>
        <w:t xml:space="preserve">micro seconds vs nanoseconds), an analogous IE </w:t>
      </w:r>
      <w:r w:rsidRPr="00EB1962">
        <w:rPr>
          <w:i/>
        </w:rPr>
        <w:t>ReferenceTime-r15</w:t>
      </w:r>
      <w:r>
        <w:t xml:space="preserve"> can be found in </w:t>
      </w:r>
      <w:r w:rsidRPr="00FF083F">
        <w:rPr>
          <w:i/>
          <w:noProof/>
        </w:rPr>
        <w:t>SystemInformationBlockType16-NB</w:t>
      </w:r>
      <w:r>
        <w:rPr>
          <w:i/>
          <w:noProof/>
        </w:rPr>
        <w:t>.</w:t>
      </w:r>
      <w:r>
        <w:rPr>
          <w:noProof/>
        </w:rPr>
        <w:t xml:space="preserve"> </w:t>
      </w:r>
    </w:p>
    <w:p w14:paraId="1A397376" w14:textId="3D714511" w:rsidR="009F6733" w:rsidRDefault="009F6733" w:rsidP="009F6733">
      <w:pPr>
        <w:rPr>
          <w:noProof/>
        </w:rPr>
      </w:pPr>
      <w:r>
        <w:rPr>
          <w:noProof/>
        </w:rPr>
        <w:t xml:space="preserve">Therefore, it appears that both general solutions for timing advance can be adapted to the NB-IoT/eMTC case. </w:t>
      </w:r>
      <w:r w:rsidR="004E4291">
        <w:rPr>
          <w:noProof/>
        </w:rPr>
        <w:t>As d</w:t>
      </w:r>
      <w:r>
        <w:rPr>
          <w:noProof/>
        </w:rPr>
        <w:t xml:space="preserve">iscussion regarding frequency comepnsation is not as advanced, It is </w:t>
      </w:r>
      <w:r w:rsidR="00AE460A">
        <w:rPr>
          <w:noProof/>
        </w:rPr>
        <w:t xml:space="preserve">therefore </w:t>
      </w:r>
      <w:r>
        <w:rPr>
          <w:noProof/>
        </w:rPr>
        <w:t>proposed that discussion on adaptation of NR frequency compensation procedures be postponed until a more developed solution in NR NTN is available.</w:t>
      </w:r>
      <w:r w:rsidR="004E4291">
        <w:rPr>
          <w:noProof/>
        </w:rPr>
        <w:t xml:space="preserve"> It is however noted that companies have expressed concerns over the ability to perform frequency compensation via the time-stamp method (Option 2).</w:t>
      </w:r>
    </w:p>
    <w:p w14:paraId="63660FAE" w14:textId="4948A97D" w:rsidR="006835E2" w:rsidRDefault="006835E2" w:rsidP="006835E2">
      <w:pPr>
        <w:ind w:left="1440" w:hanging="1440"/>
        <w:rPr>
          <w:i/>
          <w:lang w:eastAsia="sv-SE"/>
        </w:rPr>
      </w:pPr>
      <w:r w:rsidRPr="002B7347">
        <w:rPr>
          <w:i/>
          <w:u w:val="single"/>
          <w:lang w:eastAsia="sv-SE"/>
        </w:rPr>
        <w:t>Observation 1</w:t>
      </w:r>
      <w:r w:rsidRPr="002B7347">
        <w:rPr>
          <w:i/>
          <w:lang w:eastAsia="sv-SE"/>
        </w:rPr>
        <w:t xml:space="preserve">: </w:t>
      </w:r>
      <w:r w:rsidRPr="002B7347">
        <w:rPr>
          <w:i/>
          <w:lang w:eastAsia="sv-SE"/>
        </w:rPr>
        <w:tab/>
      </w:r>
      <w:r>
        <w:rPr>
          <w:i/>
          <w:lang w:eastAsia="sv-SE"/>
        </w:rPr>
        <w:t>Both timing advance compensation techniques currently under consideration by RAN1 in NR NTN can be supported in NB-IoT/</w:t>
      </w:r>
      <w:proofErr w:type="spellStart"/>
      <w:r>
        <w:rPr>
          <w:i/>
          <w:lang w:eastAsia="sv-SE"/>
        </w:rPr>
        <w:t>eMTC</w:t>
      </w:r>
      <w:proofErr w:type="spellEnd"/>
      <w:r>
        <w:rPr>
          <w:i/>
          <w:lang w:eastAsia="sv-SE"/>
        </w:rPr>
        <w:t xml:space="preserve"> with modification.</w:t>
      </w:r>
    </w:p>
    <w:p w14:paraId="039B0857" w14:textId="0BA12B02" w:rsidR="0096000E" w:rsidRPr="00F641BB" w:rsidRDefault="0096000E" w:rsidP="0096000E">
      <w:pPr>
        <w:ind w:left="1440" w:hanging="1440"/>
        <w:rPr>
          <w:b/>
          <w:strike/>
          <w:lang w:eastAsia="sv-SE"/>
        </w:rPr>
      </w:pPr>
      <w:r w:rsidRPr="00DD4F71">
        <w:rPr>
          <w:b/>
          <w:lang w:eastAsia="sv-SE"/>
        </w:rPr>
        <w:t xml:space="preserve">Proposal </w:t>
      </w:r>
      <w:r w:rsidR="005941EA">
        <w:rPr>
          <w:b/>
          <w:lang w:eastAsia="sv-SE"/>
        </w:rPr>
        <w:t>1</w:t>
      </w:r>
      <w:r w:rsidRPr="00DD4F71">
        <w:rPr>
          <w:b/>
          <w:lang w:eastAsia="sv-SE"/>
        </w:rPr>
        <w:t xml:space="preserve">: </w:t>
      </w:r>
      <w:r w:rsidRPr="00DD4F71">
        <w:rPr>
          <w:b/>
          <w:lang w:eastAsia="sv-SE"/>
        </w:rPr>
        <w:tab/>
      </w:r>
      <w:r>
        <w:rPr>
          <w:b/>
          <w:lang w:eastAsia="sv-SE"/>
        </w:rPr>
        <w:t>The timing compensation technique (location</w:t>
      </w:r>
      <w:r w:rsidR="00EF28CA">
        <w:rPr>
          <w:b/>
          <w:lang w:eastAsia="sv-SE"/>
        </w:rPr>
        <w:t>-</w:t>
      </w:r>
      <w:r>
        <w:rPr>
          <w:b/>
          <w:lang w:eastAsia="sv-SE"/>
        </w:rPr>
        <w:t>based vs. timestamp</w:t>
      </w:r>
      <w:r w:rsidR="00EF28CA">
        <w:rPr>
          <w:b/>
          <w:lang w:eastAsia="sv-SE"/>
        </w:rPr>
        <w:t>-</w:t>
      </w:r>
      <w:r>
        <w:rPr>
          <w:b/>
          <w:lang w:eastAsia="sv-SE"/>
        </w:rPr>
        <w:t xml:space="preserve">based) </w:t>
      </w:r>
      <w:r w:rsidR="00EF28CA">
        <w:rPr>
          <w:b/>
          <w:lang w:eastAsia="sv-SE"/>
        </w:rPr>
        <w:t>agreed in NR NTN is adopted for NB-IoT/</w:t>
      </w:r>
      <w:proofErr w:type="spellStart"/>
      <w:r w:rsidR="00EF28CA">
        <w:rPr>
          <w:b/>
          <w:lang w:eastAsia="sv-SE"/>
        </w:rPr>
        <w:t>eMTC</w:t>
      </w:r>
      <w:proofErr w:type="spellEnd"/>
      <w:r w:rsidR="008D1124">
        <w:rPr>
          <w:b/>
          <w:lang w:eastAsia="sv-SE"/>
        </w:rPr>
        <w:t>.</w:t>
      </w:r>
      <w:r w:rsidR="00EF28CA">
        <w:rPr>
          <w:b/>
          <w:lang w:eastAsia="sv-SE"/>
        </w:rPr>
        <w:t xml:space="preserve"> </w:t>
      </w:r>
    </w:p>
    <w:p w14:paraId="7C1E4190" w14:textId="7F436C3D" w:rsidR="006835E2" w:rsidRPr="005941EA" w:rsidRDefault="009A5E77" w:rsidP="005941EA">
      <w:pPr>
        <w:ind w:left="1440" w:hanging="1440"/>
        <w:rPr>
          <w:b/>
          <w:lang w:eastAsia="sv-SE"/>
        </w:rPr>
      </w:pPr>
      <w:r w:rsidRPr="00DD4F71">
        <w:rPr>
          <w:b/>
          <w:lang w:eastAsia="sv-SE"/>
        </w:rPr>
        <w:t xml:space="preserve">Proposal </w:t>
      </w:r>
      <w:r w:rsidR="005941EA">
        <w:rPr>
          <w:b/>
          <w:lang w:eastAsia="sv-SE"/>
        </w:rPr>
        <w:t>2</w:t>
      </w:r>
      <w:r w:rsidRPr="00DD4F71">
        <w:rPr>
          <w:b/>
          <w:lang w:eastAsia="sv-SE"/>
        </w:rPr>
        <w:t xml:space="preserve">: </w:t>
      </w:r>
      <w:r w:rsidRPr="00DD4F71">
        <w:rPr>
          <w:b/>
          <w:lang w:eastAsia="sv-SE"/>
        </w:rPr>
        <w:tab/>
      </w:r>
      <w:r>
        <w:rPr>
          <w:b/>
          <w:lang w:eastAsia="sv-SE"/>
        </w:rPr>
        <w:t>Discussion on frequency compensation in NB-IoT/</w:t>
      </w:r>
      <w:proofErr w:type="spellStart"/>
      <w:r>
        <w:rPr>
          <w:b/>
          <w:lang w:eastAsia="sv-SE"/>
        </w:rPr>
        <w:t>eMTC</w:t>
      </w:r>
      <w:proofErr w:type="spellEnd"/>
      <w:r>
        <w:rPr>
          <w:b/>
          <w:lang w:eastAsia="sv-SE"/>
        </w:rPr>
        <w:t xml:space="preserve"> for NTN is postponed until further progress in NR NTN WI.</w:t>
      </w:r>
    </w:p>
    <w:p w14:paraId="15925DDB" w14:textId="34D5D152" w:rsidR="008539B3" w:rsidRDefault="00BD1A8E" w:rsidP="005074C9">
      <w:pPr>
        <w:pStyle w:val="Heading2"/>
      </w:pPr>
      <w:r>
        <w:t>Timing relationship enhancements</w:t>
      </w:r>
    </w:p>
    <w:p w14:paraId="74D1E038" w14:textId="538C39E0" w:rsidR="00BD1A8E" w:rsidRDefault="00BD1A8E" w:rsidP="00BD1A8E">
      <w:r>
        <w:t xml:space="preserve">To adapt the </w:t>
      </w:r>
      <w:r w:rsidR="00660A66">
        <w:t xml:space="preserve">terrestrial </w:t>
      </w:r>
      <w:r>
        <w:t>timing relationship</w:t>
      </w:r>
      <w:r w:rsidR="00660A66">
        <w:t>s (e.g. scheduling)</w:t>
      </w:r>
      <w:r>
        <w:t xml:space="preserve"> to the increased propagation delay in NTN, RAN1 has agreed to include a </w:t>
      </w:r>
      <w:proofErr w:type="spellStart"/>
      <w:r>
        <w:t>Koffset</w:t>
      </w:r>
      <w:proofErr w:type="spellEnd"/>
      <w:r>
        <w:t xml:space="preserve"> value</w:t>
      </w:r>
      <w:r w:rsidR="00436B58">
        <w:t xml:space="preserve"> (proportional to at least a portion of this propagation delay)</w:t>
      </w:r>
      <w:r w:rsidR="00E00217">
        <w:t xml:space="preserve"> to applicable timing equations</w:t>
      </w:r>
      <w:r>
        <w:t xml:space="preserve">. Relevant agreements </w:t>
      </w:r>
      <w:r w:rsidR="00A45034">
        <w:t>from</w:t>
      </w:r>
      <w:r>
        <w:t xml:space="preserve"> RAN1#102 [</w:t>
      </w:r>
      <w:r w:rsidR="00975245">
        <w:t>3</w:t>
      </w:r>
      <w:r>
        <w:t>], are included below:</w:t>
      </w:r>
    </w:p>
    <w:p w14:paraId="42FA6182" w14:textId="77777777" w:rsidR="00BD1A8E" w:rsidRPr="00BD1A8E" w:rsidRDefault="00BD1A8E" w:rsidP="00BD1A8E">
      <w:pPr>
        <w:ind w:left="360"/>
        <w:rPr>
          <w:rFonts w:cs="Arial"/>
          <w:i/>
          <w:lang w:eastAsia="x-none"/>
        </w:rPr>
      </w:pPr>
      <w:bookmarkStart w:id="0" w:name="_Hlk49429056"/>
      <w:r w:rsidRPr="00BD1A8E">
        <w:rPr>
          <w:rFonts w:cs="Arial"/>
          <w:i/>
          <w:highlight w:val="green"/>
          <w:lang w:eastAsia="x-none"/>
        </w:rPr>
        <w:t>Agreement:</w:t>
      </w:r>
    </w:p>
    <w:p w14:paraId="1A7B8854" w14:textId="77777777" w:rsidR="00BD1A8E" w:rsidRPr="00BD1A8E" w:rsidRDefault="00BD1A8E" w:rsidP="00BD1A8E">
      <w:pPr>
        <w:pStyle w:val="ListParagraph"/>
        <w:numPr>
          <w:ilvl w:val="0"/>
          <w:numId w:val="18"/>
        </w:numPr>
        <w:overflowPunct w:val="0"/>
        <w:autoSpaceDE w:val="0"/>
        <w:autoSpaceDN w:val="0"/>
        <w:adjustRightInd w:val="0"/>
        <w:spacing w:after="180" w:line="240" w:lineRule="auto"/>
        <w:ind w:left="1080"/>
        <w:textAlignment w:val="baseline"/>
        <w:rPr>
          <w:rFonts w:ascii="Arial" w:hAnsi="Arial" w:cs="Arial"/>
          <w:b/>
          <w:bCs/>
          <w:i/>
          <w:sz w:val="20"/>
          <w:szCs w:val="20"/>
          <w:u w:val="single"/>
        </w:rPr>
      </w:pPr>
      <w:r w:rsidRPr="00BD1A8E">
        <w:rPr>
          <w:rFonts w:ascii="Arial" w:hAnsi="Arial" w:cs="Arial"/>
          <w:i/>
          <w:sz w:val="20"/>
          <w:szCs w:val="20"/>
        </w:rPr>
        <w:t xml:space="preserve">Introduce </w:t>
      </w:r>
      <w:proofErr w:type="spellStart"/>
      <w:r w:rsidRPr="00BD1A8E">
        <w:rPr>
          <w:rFonts w:ascii="Arial" w:hAnsi="Arial" w:cs="Arial"/>
          <w:i/>
          <w:sz w:val="20"/>
          <w:szCs w:val="20"/>
        </w:rPr>
        <w:t>K_offset</w:t>
      </w:r>
      <w:proofErr w:type="spellEnd"/>
      <w:r w:rsidRPr="00BD1A8E">
        <w:rPr>
          <w:rFonts w:ascii="Arial" w:hAnsi="Arial" w:cs="Arial"/>
          <w:i/>
          <w:sz w:val="20"/>
          <w:szCs w:val="20"/>
        </w:rPr>
        <w:t xml:space="preserve"> to enhance the following timing relationships:</w:t>
      </w:r>
    </w:p>
    <w:p w14:paraId="1029B8AA" w14:textId="77777777" w:rsidR="00BD1A8E" w:rsidRPr="00BD1A8E" w:rsidRDefault="00BD1A8E" w:rsidP="00BD1A8E">
      <w:pPr>
        <w:pStyle w:val="ListParagraph"/>
        <w:numPr>
          <w:ilvl w:val="1"/>
          <w:numId w:val="18"/>
        </w:numPr>
        <w:overflowPunct w:val="0"/>
        <w:autoSpaceDE w:val="0"/>
        <w:autoSpaceDN w:val="0"/>
        <w:adjustRightInd w:val="0"/>
        <w:spacing w:after="180" w:line="240" w:lineRule="auto"/>
        <w:ind w:left="1800"/>
        <w:textAlignment w:val="baseline"/>
        <w:rPr>
          <w:rFonts w:ascii="Arial" w:hAnsi="Arial" w:cs="Arial"/>
          <w:b/>
          <w:bCs/>
          <w:i/>
          <w:sz w:val="20"/>
          <w:szCs w:val="20"/>
          <w:u w:val="single"/>
        </w:rPr>
      </w:pPr>
      <w:r w:rsidRPr="00BD1A8E">
        <w:rPr>
          <w:rFonts w:ascii="Arial" w:hAnsi="Arial" w:cs="Arial"/>
          <w:i/>
          <w:sz w:val="20"/>
          <w:szCs w:val="20"/>
        </w:rPr>
        <w:t>The transmission timing of DCI scheduled PUSCH (including CSI on PUSCH).</w:t>
      </w:r>
    </w:p>
    <w:p w14:paraId="2B9E0370" w14:textId="77777777" w:rsidR="00BD1A8E" w:rsidRPr="00BD1A8E" w:rsidRDefault="00BD1A8E" w:rsidP="00BD1A8E">
      <w:pPr>
        <w:pStyle w:val="ListParagraph"/>
        <w:numPr>
          <w:ilvl w:val="1"/>
          <w:numId w:val="18"/>
        </w:numPr>
        <w:overflowPunct w:val="0"/>
        <w:autoSpaceDE w:val="0"/>
        <w:autoSpaceDN w:val="0"/>
        <w:adjustRightInd w:val="0"/>
        <w:spacing w:after="180" w:line="240" w:lineRule="auto"/>
        <w:ind w:left="1800"/>
        <w:textAlignment w:val="baseline"/>
        <w:rPr>
          <w:rFonts w:ascii="Arial" w:hAnsi="Arial" w:cs="Arial"/>
          <w:i/>
          <w:sz w:val="20"/>
          <w:szCs w:val="20"/>
        </w:rPr>
      </w:pPr>
      <w:r w:rsidRPr="00BD1A8E">
        <w:rPr>
          <w:rFonts w:ascii="Arial" w:hAnsi="Arial" w:cs="Arial"/>
          <w:i/>
          <w:sz w:val="20"/>
          <w:szCs w:val="20"/>
        </w:rPr>
        <w:t>The transmission timing of RAR grant scheduled PUSCH.</w:t>
      </w:r>
    </w:p>
    <w:p w14:paraId="67F6A392" w14:textId="77777777" w:rsidR="00BD1A8E" w:rsidRPr="00BD1A8E" w:rsidRDefault="00BD1A8E" w:rsidP="00BD1A8E">
      <w:pPr>
        <w:pStyle w:val="ListParagraph"/>
        <w:numPr>
          <w:ilvl w:val="1"/>
          <w:numId w:val="18"/>
        </w:numPr>
        <w:overflowPunct w:val="0"/>
        <w:autoSpaceDE w:val="0"/>
        <w:autoSpaceDN w:val="0"/>
        <w:adjustRightInd w:val="0"/>
        <w:spacing w:after="180" w:line="240" w:lineRule="auto"/>
        <w:ind w:left="1800"/>
        <w:textAlignment w:val="baseline"/>
        <w:rPr>
          <w:rFonts w:ascii="Arial" w:hAnsi="Arial" w:cs="Arial"/>
          <w:i/>
          <w:sz w:val="20"/>
          <w:szCs w:val="20"/>
        </w:rPr>
      </w:pPr>
      <w:r w:rsidRPr="00BD1A8E">
        <w:rPr>
          <w:rFonts w:ascii="Arial" w:hAnsi="Arial" w:cs="Arial"/>
          <w:i/>
          <w:sz w:val="20"/>
          <w:szCs w:val="20"/>
        </w:rPr>
        <w:t>The transmission timing of HARQ-ACK on PUCCH.</w:t>
      </w:r>
    </w:p>
    <w:p w14:paraId="7BEE079B" w14:textId="77777777" w:rsidR="00BD1A8E" w:rsidRPr="00BD1A8E" w:rsidRDefault="00BD1A8E" w:rsidP="00BD1A8E">
      <w:pPr>
        <w:pStyle w:val="ListParagraph"/>
        <w:numPr>
          <w:ilvl w:val="1"/>
          <w:numId w:val="18"/>
        </w:numPr>
        <w:overflowPunct w:val="0"/>
        <w:autoSpaceDE w:val="0"/>
        <w:autoSpaceDN w:val="0"/>
        <w:adjustRightInd w:val="0"/>
        <w:spacing w:after="180" w:line="240" w:lineRule="auto"/>
        <w:ind w:left="1800"/>
        <w:textAlignment w:val="baseline"/>
        <w:rPr>
          <w:rFonts w:ascii="Arial" w:hAnsi="Arial" w:cs="Arial"/>
          <w:i/>
          <w:sz w:val="20"/>
          <w:szCs w:val="20"/>
        </w:rPr>
      </w:pPr>
      <w:r w:rsidRPr="00BD1A8E">
        <w:rPr>
          <w:rFonts w:ascii="Arial" w:hAnsi="Arial" w:cs="Arial"/>
          <w:i/>
          <w:sz w:val="20"/>
          <w:szCs w:val="20"/>
        </w:rPr>
        <w:t>The CSI reference resource timing.</w:t>
      </w:r>
    </w:p>
    <w:p w14:paraId="75A6B0E7" w14:textId="77777777" w:rsidR="00BD1A8E" w:rsidRPr="00BD1A8E" w:rsidRDefault="00BD1A8E" w:rsidP="00BD1A8E">
      <w:pPr>
        <w:pStyle w:val="ListParagraph"/>
        <w:numPr>
          <w:ilvl w:val="1"/>
          <w:numId w:val="18"/>
        </w:numPr>
        <w:overflowPunct w:val="0"/>
        <w:autoSpaceDE w:val="0"/>
        <w:autoSpaceDN w:val="0"/>
        <w:adjustRightInd w:val="0"/>
        <w:spacing w:after="180" w:line="240" w:lineRule="auto"/>
        <w:ind w:left="1800"/>
        <w:textAlignment w:val="baseline"/>
        <w:rPr>
          <w:rFonts w:ascii="Arial" w:hAnsi="Arial" w:cs="Arial"/>
          <w:i/>
          <w:sz w:val="20"/>
          <w:szCs w:val="20"/>
        </w:rPr>
      </w:pPr>
      <w:r w:rsidRPr="00BD1A8E">
        <w:rPr>
          <w:rFonts w:ascii="Arial" w:hAnsi="Arial" w:cs="Arial"/>
          <w:i/>
          <w:sz w:val="20"/>
          <w:szCs w:val="20"/>
        </w:rPr>
        <w:t>The transmission timing of aperiodic SRS.</w:t>
      </w:r>
    </w:p>
    <w:p w14:paraId="16DD87D4" w14:textId="77777777" w:rsidR="00BD1A8E" w:rsidRPr="00BD1A8E" w:rsidRDefault="00BD1A8E" w:rsidP="00BD1A8E">
      <w:pPr>
        <w:pStyle w:val="ListParagraph"/>
        <w:numPr>
          <w:ilvl w:val="0"/>
          <w:numId w:val="18"/>
        </w:numPr>
        <w:overflowPunct w:val="0"/>
        <w:autoSpaceDE w:val="0"/>
        <w:autoSpaceDN w:val="0"/>
        <w:adjustRightInd w:val="0"/>
        <w:spacing w:after="180" w:line="240" w:lineRule="auto"/>
        <w:ind w:left="1080"/>
        <w:textAlignment w:val="baseline"/>
        <w:rPr>
          <w:rFonts w:ascii="Arial" w:hAnsi="Arial" w:cs="Arial"/>
          <w:i/>
          <w:sz w:val="20"/>
          <w:szCs w:val="20"/>
        </w:rPr>
      </w:pPr>
      <w:r w:rsidRPr="00BD1A8E">
        <w:rPr>
          <w:rFonts w:ascii="Arial" w:hAnsi="Arial" w:cs="Arial"/>
          <w:i/>
          <w:sz w:val="20"/>
          <w:szCs w:val="20"/>
        </w:rPr>
        <w:t xml:space="preserve">Note: Additional timing relationships that require </w:t>
      </w:r>
      <w:proofErr w:type="spellStart"/>
      <w:r w:rsidRPr="00BD1A8E">
        <w:rPr>
          <w:rFonts w:ascii="Arial" w:hAnsi="Arial" w:cs="Arial"/>
          <w:i/>
          <w:sz w:val="20"/>
          <w:szCs w:val="20"/>
        </w:rPr>
        <w:t>K_offset</w:t>
      </w:r>
      <w:proofErr w:type="spellEnd"/>
      <w:r w:rsidRPr="00BD1A8E">
        <w:rPr>
          <w:rFonts w:ascii="Arial" w:hAnsi="Arial" w:cs="Arial"/>
          <w:i/>
          <w:sz w:val="20"/>
          <w:szCs w:val="20"/>
        </w:rPr>
        <w:t xml:space="preserve"> of the same or different values can be further identified.</w:t>
      </w:r>
    </w:p>
    <w:p w14:paraId="4BB097DF" w14:textId="77777777" w:rsidR="00BD1A8E" w:rsidRPr="00BD1A8E" w:rsidRDefault="00BD1A8E" w:rsidP="00BD1A8E">
      <w:pPr>
        <w:ind w:left="360"/>
        <w:rPr>
          <w:rFonts w:cs="Arial"/>
          <w:i/>
          <w:lang w:val="en-US" w:eastAsia="x-none"/>
        </w:rPr>
      </w:pPr>
      <w:bookmarkStart w:id="1" w:name="_Hlk49428996"/>
      <w:bookmarkEnd w:id="0"/>
      <w:r w:rsidRPr="00BD1A8E">
        <w:rPr>
          <w:rFonts w:cs="Arial"/>
          <w:i/>
          <w:highlight w:val="green"/>
          <w:lang w:eastAsia="x-none"/>
        </w:rPr>
        <w:t>Agreement:</w:t>
      </w:r>
    </w:p>
    <w:p w14:paraId="50BF2745" w14:textId="77777777" w:rsidR="00BD1A8E" w:rsidRPr="00BD1A8E" w:rsidRDefault="00BD1A8E" w:rsidP="00BD1A8E">
      <w:pPr>
        <w:ind w:left="360"/>
        <w:rPr>
          <w:rFonts w:cs="Arial"/>
          <w:i/>
          <w:lang w:eastAsia="x-none"/>
        </w:rPr>
      </w:pPr>
      <w:r w:rsidRPr="00BD1A8E">
        <w:rPr>
          <w:rFonts w:cs="Arial"/>
          <w:i/>
          <w:lang w:eastAsia="x-none"/>
        </w:rPr>
        <w:t xml:space="preserve">For </w:t>
      </w:r>
      <w:proofErr w:type="spellStart"/>
      <w:r w:rsidRPr="00BD1A8E">
        <w:rPr>
          <w:rFonts w:cs="Arial"/>
          <w:i/>
          <w:lang w:eastAsia="x-none"/>
        </w:rPr>
        <w:t>Koffset</w:t>
      </w:r>
      <w:proofErr w:type="spellEnd"/>
      <w:r w:rsidRPr="00BD1A8E">
        <w:rPr>
          <w:rFonts w:cs="Arial"/>
          <w:i/>
          <w:lang w:eastAsia="x-none"/>
        </w:rPr>
        <w:t xml:space="preserve"> used in initial access, the information of </w:t>
      </w:r>
      <w:proofErr w:type="spellStart"/>
      <w:r w:rsidRPr="00BD1A8E">
        <w:rPr>
          <w:rFonts w:cs="Arial"/>
          <w:i/>
          <w:lang w:eastAsia="x-none"/>
        </w:rPr>
        <w:t>Koffset</w:t>
      </w:r>
      <w:proofErr w:type="spellEnd"/>
      <w:r w:rsidRPr="00BD1A8E">
        <w:rPr>
          <w:rFonts w:cs="Arial"/>
          <w:i/>
          <w:lang w:eastAsia="x-none"/>
        </w:rPr>
        <w:t xml:space="preserve"> is carried in system information. </w:t>
      </w:r>
    </w:p>
    <w:p w14:paraId="50525310" w14:textId="77777777" w:rsidR="00BD1A8E" w:rsidRPr="00BD1A8E" w:rsidRDefault="00BD1A8E" w:rsidP="00BD1A8E">
      <w:pPr>
        <w:numPr>
          <w:ilvl w:val="0"/>
          <w:numId w:val="17"/>
        </w:numPr>
        <w:overflowPunct/>
        <w:autoSpaceDE/>
        <w:autoSpaceDN/>
        <w:adjustRightInd/>
        <w:spacing w:after="0"/>
        <w:ind w:left="1080"/>
        <w:jc w:val="left"/>
        <w:textAlignment w:val="auto"/>
        <w:rPr>
          <w:rFonts w:cs="Arial"/>
          <w:i/>
          <w:lang w:eastAsia="x-none"/>
        </w:rPr>
      </w:pPr>
      <w:r w:rsidRPr="00BD1A8E">
        <w:rPr>
          <w:rFonts w:cs="Arial"/>
          <w:i/>
          <w:lang w:eastAsia="x-none"/>
        </w:rPr>
        <w:t xml:space="preserve">FFS implicit and/or explicit </w:t>
      </w:r>
      <w:proofErr w:type="spellStart"/>
      <w:r w:rsidRPr="00BD1A8E">
        <w:rPr>
          <w:rFonts w:cs="Arial"/>
          <w:i/>
          <w:lang w:eastAsia="x-none"/>
        </w:rPr>
        <w:t>signaling</w:t>
      </w:r>
      <w:proofErr w:type="spellEnd"/>
      <w:r w:rsidRPr="00BD1A8E">
        <w:rPr>
          <w:rFonts w:cs="Arial"/>
          <w:i/>
          <w:lang w:eastAsia="x-none"/>
        </w:rPr>
        <w:t xml:space="preserve"> of </w:t>
      </w:r>
      <w:proofErr w:type="spellStart"/>
      <w:r w:rsidRPr="00BD1A8E">
        <w:rPr>
          <w:rFonts w:cs="Arial"/>
          <w:i/>
          <w:lang w:eastAsia="x-none"/>
        </w:rPr>
        <w:t>Koffset</w:t>
      </w:r>
      <w:proofErr w:type="spellEnd"/>
      <w:r w:rsidRPr="00BD1A8E">
        <w:rPr>
          <w:rFonts w:cs="Arial"/>
          <w:i/>
          <w:lang w:eastAsia="x-none"/>
        </w:rPr>
        <w:t xml:space="preserve"> in system information.</w:t>
      </w:r>
    </w:p>
    <w:p w14:paraId="2BC26560" w14:textId="77777777" w:rsidR="00AB039F" w:rsidRDefault="00BD1A8E" w:rsidP="00AB039F">
      <w:pPr>
        <w:numPr>
          <w:ilvl w:val="0"/>
          <w:numId w:val="17"/>
        </w:numPr>
        <w:overflowPunct/>
        <w:autoSpaceDE/>
        <w:autoSpaceDN/>
        <w:adjustRightInd/>
        <w:spacing w:after="0"/>
        <w:ind w:left="1080"/>
        <w:jc w:val="left"/>
        <w:textAlignment w:val="auto"/>
        <w:rPr>
          <w:rFonts w:cs="Arial"/>
          <w:i/>
          <w:lang w:eastAsia="x-none"/>
        </w:rPr>
      </w:pPr>
      <w:r w:rsidRPr="00BD1A8E">
        <w:rPr>
          <w:rFonts w:cs="Arial"/>
          <w:i/>
          <w:lang w:eastAsia="x-none"/>
        </w:rPr>
        <w:t xml:space="preserve">FFS a cell specific </w:t>
      </w:r>
      <w:proofErr w:type="spellStart"/>
      <w:r w:rsidRPr="00BD1A8E">
        <w:rPr>
          <w:rFonts w:cs="Arial"/>
          <w:i/>
          <w:lang w:eastAsia="x-none"/>
        </w:rPr>
        <w:t>Koffset</w:t>
      </w:r>
      <w:proofErr w:type="spellEnd"/>
      <w:r w:rsidRPr="00BD1A8E">
        <w:rPr>
          <w:rFonts w:cs="Arial"/>
          <w:i/>
          <w:lang w:eastAsia="x-none"/>
        </w:rPr>
        <w:t xml:space="preserve"> value used in all beams of a cell and/or each beam in a cell uses a </w:t>
      </w:r>
      <w:proofErr w:type="gramStart"/>
      <w:r w:rsidRPr="00BD1A8E">
        <w:rPr>
          <w:rFonts w:cs="Arial"/>
          <w:i/>
          <w:lang w:eastAsia="x-none"/>
        </w:rPr>
        <w:t>beam-specific</w:t>
      </w:r>
      <w:proofErr w:type="gramEnd"/>
      <w:r w:rsidRPr="00BD1A8E">
        <w:rPr>
          <w:rFonts w:cs="Arial"/>
          <w:i/>
          <w:lang w:eastAsia="x-none"/>
        </w:rPr>
        <w:t xml:space="preserve"> </w:t>
      </w:r>
      <w:proofErr w:type="spellStart"/>
      <w:r w:rsidRPr="00BD1A8E">
        <w:rPr>
          <w:rFonts w:cs="Arial"/>
          <w:i/>
          <w:lang w:eastAsia="x-none"/>
        </w:rPr>
        <w:t>Koffset</w:t>
      </w:r>
      <w:proofErr w:type="spellEnd"/>
      <w:r w:rsidRPr="00BD1A8E">
        <w:rPr>
          <w:rFonts w:cs="Arial"/>
          <w:i/>
          <w:lang w:eastAsia="x-none"/>
        </w:rPr>
        <w:t xml:space="preserve"> value.</w:t>
      </w:r>
    </w:p>
    <w:p w14:paraId="79FC2EEE" w14:textId="2824EDC5" w:rsidR="00BD1A8E" w:rsidRPr="00AB039F" w:rsidRDefault="00BD1A8E" w:rsidP="00AB039F">
      <w:pPr>
        <w:pStyle w:val="ListParagraph"/>
        <w:numPr>
          <w:ilvl w:val="0"/>
          <w:numId w:val="17"/>
        </w:numPr>
        <w:rPr>
          <w:rFonts w:cs="Arial"/>
          <w:i/>
          <w:lang w:eastAsia="x-none"/>
        </w:rPr>
      </w:pPr>
      <w:r w:rsidRPr="00AB039F">
        <w:rPr>
          <w:i/>
        </w:rPr>
        <w:t xml:space="preserve">FFS whether/how to update </w:t>
      </w:r>
      <w:proofErr w:type="spellStart"/>
      <w:r w:rsidRPr="00AB039F">
        <w:rPr>
          <w:i/>
        </w:rPr>
        <w:t>Koffset</w:t>
      </w:r>
      <w:proofErr w:type="spellEnd"/>
      <w:r w:rsidRPr="00AB039F">
        <w:rPr>
          <w:i/>
        </w:rPr>
        <w:t xml:space="preserve"> after initial access.</w:t>
      </w:r>
      <w:bookmarkEnd w:id="1"/>
    </w:p>
    <w:p w14:paraId="0D6D1C5F" w14:textId="04C70959" w:rsidR="00BD1A8E" w:rsidRDefault="00AB039F" w:rsidP="00BD1A8E">
      <w:r>
        <w:t xml:space="preserve">Although details of this </w:t>
      </w:r>
      <w:proofErr w:type="spellStart"/>
      <w:r>
        <w:t>Koffset</w:t>
      </w:r>
      <w:proofErr w:type="spellEnd"/>
      <w:r>
        <w:t xml:space="preserve"> value are yet to be determined</w:t>
      </w:r>
      <w:r w:rsidR="00137DF3">
        <w:t xml:space="preserve"> and may require </w:t>
      </w:r>
      <w:r w:rsidR="00581D98">
        <w:t xml:space="preserve">further </w:t>
      </w:r>
      <w:r w:rsidR="00137DF3">
        <w:t>modification</w:t>
      </w:r>
      <w:r w:rsidR="00581D98">
        <w:t xml:space="preserve"> to adapt to LTE</w:t>
      </w:r>
      <w:r>
        <w:t xml:space="preserve">, </w:t>
      </w:r>
      <w:r w:rsidR="00137DF3">
        <w:t xml:space="preserve">in general </w:t>
      </w:r>
      <w:r>
        <w:t>a similar solution can be adopted for NB-IoT/</w:t>
      </w:r>
      <w:proofErr w:type="spellStart"/>
      <w:r>
        <w:t>eMTC</w:t>
      </w:r>
      <w:proofErr w:type="spellEnd"/>
      <w:r>
        <w:t xml:space="preserve"> timing relationship</w:t>
      </w:r>
      <w:r w:rsidR="00877B39">
        <w:t xml:space="preserve"> enhancement</w:t>
      </w:r>
      <w:r w:rsidR="003538ED">
        <w:t>s.</w:t>
      </w:r>
    </w:p>
    <w:p w14:paraId="29CD5AA9" w14:textId="22797718" w:rsidR="00AB039F" w:rsidRPr="0096000E" w:rsidRDefault="00AB039F" w:rsidP="00AB039F">
      <w:pPr>
        <w:ind w:left="1440" w:hanging="1440"/>
        <w:rPr>
          <w:b/>
          <w:lang w:eastAsia="sv-SE"/>
        </w:rPr>
      </w:pPr>
      <w:r w:rsidRPr="00DD4F71">
        <w:rPr>
          <w:b/>
          <w:lang w:eastAsia="sv-SE"/>
        </w:rPr>
        <w:t xml:space="preserve">Proposal </w:t>
      </w:r>
      <w:r>
        <w:rPr>
          <w:b/>
          <w:lang w:eastAsia="sv-SE"/>
        </w:rPr>
        <w:t>3</w:t>
      </w:r>
      <w:r w:rsidRPr="00DD4F71">
        <w:rPr>
          <w:b/>
          <w:lang w:eastAsia="sv-SE"/>
        </w:rPr>
        <w:t xml:space="preserve">: </w:t>
      </w:r>
      <w:r w:rsidRPr="00DD4F71">
        <w:rPr>
          <w:b/>
          <w:lang w:eastAsia="sv-SE"/>
        </w:rPr>
        <w:tab/>
      </w:r>
      <w:r>
        <w:rPr>
          <w:b/>
          <w:lang w:eastAsia="sv-SE"/>
        </w:rPr>
        <w:t xml:space="preserve">A </w:t>
      </w:r>
      <w:proofErr w:type="spellStart"/>
      <w:r>
        <w:rPr>
          <w:b/>
          <w:lang w:eastAsia="sv-SE"/>
        </w:rPr>
        <w:t>Koffset</w:t>
      </w:r>
      <w:proofErr w:type="spellEnd"/>
      <w:r>
        <w:rPr>
          <w:b/>
          <w:lang w:eastAsia="sv-SE"/>
        </w:rPr>
        <w:t xml:space="preserve"> value carried in system information is used </w:t>
      </w:r>
      <w:r w:rsidR="00494CE4">
        <w:rPr>
          <w:b/>
          <w:lang w:eastAsia="sv-SE"/>
        </w:rPr>
        <w:t>to adapt</w:t>
      </w:r>
      <w:r>
        <w:rPr>
          <w:b/>
          <w:lang w:eastAsia="sv-SE"/>
        </w:rPr>
        <w:t xml:space="preserve"> timing relationship enhancements in NB-IoT/</w:t>
      </w:r>
      <w:proofErr w:type="spellStart"/>
      <w:r>
        <w:rPr>
          <w:b/>
          <w:lang w:eastAsia="sv-SE"/>
        </w:rPr>
        <w:t>eMTC</w:t>
      </w:r>
      <w:proofErr w:type="spellEnd"/>
      <w:r>
        <w:rPr>
          <w:b/>
          <w:lang w:eastAsia="sv-SE"/>
        </w:rPr>
        <w:t xml:space="preserve"> to an NTN environment.</w:t>
      </w:r>
    </w:p>
    <w:p w14:paraId="09FF51F8" w14:textId="77777777" w:rsidR="00AB039F" w:rsidRPr="00BD1A8E" w:rsidRDefault="00AB039F" w:rsidP="00BD1A8E"/>
    <w:p w14:paraId="39BA906E" w14:textId="3F680B9D" w:rsidR="005074C9" w:rsidRDefault="005074C9" w:rsidP="005074C9">
      <w:pPr>
        <w:pStyle w:val="Heading2"/>
      </w:pPr>
      <w:r>
        <w:lastRenderedPageBreak/>
        <w:t>HARQ aspects</w:t>
      </w:r>
    </w:p>
    <w:p w14:paraId="57037AE4" w14:textId="624887E9" w:rsidR="00C6277A" w:rsidRDefault="008B25C4" w:rsidP="006E7978">
      <w:r>
        <w:t xml:space="preserve">Two HARQ aspects are currently under discussion in RAN1: </w:t>
      </w:r>
      <w:r w:rsidR="006E7978">
        <w:t xml:space="preserve">1) </w:t>
      </w:r>
      <w:r>
        <w:t>the enabling/disabling of HARQ</w:t>
      </w:r>
      <w:r w:rsidR="006E7978">
        <w:t xml:space="preserve"> feedback for downlink transmission and; 2) the extension of maximal HARQ process number. Such enhancements are necessary to avoid HARQ stalling in NTN due to large propagation delays. The following agreements from RAN1#102e are summarized below</w:t>
      </w:r>
      <w:r w:rsidR="00975245">
        <w:t xml:space="preserve"> [3]</w:t>
      </w:r>
      <w:r w:rsidR="006E7978">
        <w:t>:</w:t>
      </w:r>
    </w:p>
    <w:p w14:paraId="3A6D2A11" w14:textId="77777777" w:rsidR="006E7978" w:rsidRPr="006E7978" w:rsidRDefault="006E7978" w:rsidP="006E7978">
      <w:pPr>
        <w:ind w:left="720"/>
        <w:rPr>
          <w:rFonts w:cs="Arial"/>
          <w:i/>
          <w:lang w:eastAsia="x-none"/>
        </w:rPr>
      </w:pPr>
      <w:r w:rsidRPr="006E7978">
        <w:rPr>
          <w:rFonts w:cs="Arial"/>
          <w:i/>
          <w:highlight w:val="green"/>
          <w:lang w:eastAsia="x-none"/>
        </w:rPr>
        <w:t>Agreement:</w:t>
      </w:r>
    </w:p>
    <w:p w14:paraId="08F3AC97" w14:textId="77777777" w:rsidR="006E7978" w:rsidRPr="006E7978" w:rsidRDefault="006E7978" w:rsidP="006E7978">
      <w:pPr>
        <w:ind w:left="720"/>
        <w:rPr>
          <w:rFonts w:cs="Arial"/>
          <w:i/>
          <w:lang w:eastAsia="x-none"/>
        </w:rPr>
      </w:pPr>
      <w:r w:rsidRPr="006E7978">
        <w:rPr>
          <w:rFonts w:cs="Arial"/>
          <w:i/>
          <w:lang w:eastAsia="x-none"/>
        </w:rPr>
        <w:t xml:space="preserve">Enabling/disabling on HARQ feedback for downlink transmission should be at least configurable per HARQ process via UE specific RRC </w:t>
      </w:r>
      <w:proofErr w:type="spellStart"/>
      <w:r w:rsidRPr="006E7978">
        <w:rPr>
          <w:rFonts w:cs="Arial"/>
          <w:i/>
          <w:lang w:eastAsia="x-none"/>
        </w:rPr>
        <w:t>signaling</w:t>
      </w:r>
      <w:proofErr w:type="spellEnd"/>
    </w:p>
    <w:p w14:paraId="75F1A758" w14:textId="77777777" w:rsidR="006E7978" w:rsidRPr="006E7978" w:rsidRDefault="006E7978" w:rsidP="006E7978">
      <w:pPr>
        <w:ind w:left="720"/>
        <w:rPr>
          <w:rFonts w:cs="Arial"/>
          <w:i/>
          <w:lang w:eastAsia="x-none"/>
        </w:rPr>
      </w:pPr>
      <w:r w:rsidRPr="006E7978">
        <w:rPr>
          <w:rFonts w:cs="Arial"/>
          <w:i/>
          <w:highlight w:val="green"/>
          <w:lang w:eastAsia="x-none"/>
        </w:rPr>
        <w:t>Agreement:</w:t>
      </w:r>
    </w:p>
    <w:p w14:paraId="52ADC00C" w14:textId="77777777" w:rsidR="006E7978" w:rsidRPr="006E7978" w:rsidRDefault="006E7978" w:rsidP="006E7978">
      <w:pPr>
        <w:ind w:left="720"/>
        <w:rPr>
          <w:rFonts w:cs="Arial"/>
          <w:i/>
          <w:lang w:eastAsia="x-none"/>
        </w:rPr>
      </w:pPr>
      <w:r w:rsidRPr="006E7978">
        <w:rPr>
          <w:rFonts w:cs="Arial"/>
          <w:i/>
          <w:lang w:eastAsia="x-none"/>
        </w:rPr>
        <w:t>The extension of maximal HARQ process number can be considered with following assumptions:</w:t>
      </w:r>
    </w:p>
    <w:p w14:paraId="6EAD678B" w14:textId="77777777" w:rsidR="006E7978" w:rsidRPr="006E7978" w:rsidRDefault="006E7978" w:rsidP="006E7978">
      <w:pPr>
        <w:pStyle w:val="ListParagraph"/>
        <w:numPr>
          <w:ilvl w:val="0"/>
          <w:numId w:val="19"/>
        </w:numPr>
        <w:overflowPunct w:val="0"/>
        <w:autoSpaceDE w:val="0"/>
        <w:autoSpaceDN w:val="0"/>
        <w:adjustRightInd w:val="0"/>
        <w:spacing w:after="180" w:line="240" w:lineRule="auto"/>
        <w:ind w:left="1440"/>
        <w:textAlignment w:val="baseline"/>
        <w:rPr>
          <w:rFonts w:ascii="Arial" w:hAnsi="Arial" w:cs="Arial"/>
          <w:i/>
          <w:sz w:val="20"/>
          <w:szCs w:val="20"/>
        </w:rPr>
      </w:pPr>
      <w:r w:rsidRPr="006E7978">
        <w:rPr>
          <w:rFonts w:ascii="Arial" w:hAnsi="Arial" w:cs="Arial"/>
          <w:i/>
          <w:sz w:val="20"/>
          <w:szCs w:val="20"/>
        </w:rPr>
        <w:t>The maximal supported HARQ process number is up to 32.</w:t>
      </w:r>
    </w:p>
    <w:p w14:paraId="0D6A41E0" w14:textId="77777777" w:rsidR="006E7978" w:rsidRPr="006E7978" w:rsidRDefault="006E7978" w:rsidP="006E7978">
      <w:pPr>
        <w:pStyle w:val="ListParagraph"/>
        <w:numPr>
          <w:ilvl w:val="0"/>
          <w:numId w:val="19"/>
        </w:numPr>
        <w:overflowPunct w:val="0"/>
        <w:autoSpaceDE w:val="0"/>
        <w:autoSpaceDN w:val="0"/>
        <w:adjustRightInd w:val="0"/>
        <w:spacing w:after="180" w:line="240" w:lineRule="auto"/>
        <w:ind w:left="1440"/>
        <w:textAlignment w:val="baseline"/>
        <w:rPr>
          <w:rFonts w:ascii="Arial" w:hAnsi="Arial" w:cs="Arial"/>
          <w:i/>
          <w:sz w:val="20"/>
          <w:szCs w:val="20"/>
        </w:rPr>
      </w:pPr>
      <w:r w:rsidRPr="006E7978">
        <w:rPr>
          <w:rFonts w:ascii="Arial" w:hAnsi="Arial" w:cs="Arial"/>
          <w:i/>
          <w:sz w:val="20"/>
          <w:szCs w:val="20"/>
        </w:rPr>
        <w:t>FFS: Support on the maximal HARQ process number is up to UE capability</w:t>
      </w:r>
    </w:p>
    <w:p w14:paraId="406DE3F3" w14:textId="77777777" w:rsidR="006E7978" w:rsidRPr="006E7978" w:rsidRDefault="006E7978" w:rsidP="006E7978">
      <w:pPr>
        <w:pStyle w:val="ListParagraph"/>
        <w:numPr>
          <w:ilvl w:val="0"/>
          <w:numId w:val="19"/>
        </w:numPr>
        <w:overflowPunct w:val="0"/>
        <w:autoSpaceDE w:val="0"/>
        <w:autoSpaceDN w:val="0"/>
        <w:adjustRightInd w:val="0"/>
        <w:spacing w:after="180" w:line="240" w:lineRule="auto"/>
        <w:ind w:left="1440"/>
        <w:textAlignment w:val="baseline"/>
        <w:rPr>
          <w:rFonts w:ascii="Arial" w:hAnsi="Arial" w:cs="Arial"/>
          <w:i/>
          <w:sz w:val="20"/>
          <w:szCs w:val="20"/>
        </w:rPr>
      </w:pPr>
      <w:r w:rsidRPr="006E7978">
        <w:rPr>
          <w:rFonts w:ascii="Arial" w:hAnsi="Arial" w:cs="Arial"/>
          <w:i/>
          <w:sz w:val="20"/>
          <w:szCs w:val="20"/>
        </w:rPr>
        <w:t>Minimizing the impacts on specification and scheduling</w:t>
      </w:r>
    </w:p>
    <w:p w14:paraId="0F1FC848" w14:textId="40FBA951" w:rsidR="006E7978" w:rsidRDefault="006E7978" w:rsidP="006E7978">
      <w:r>
        <w:t>Although agreements on disabling HARQ process can be applied to NB-IoT/</w:t>
      </w:r>
      <w:proofErr w:type="spellStart"/>
      <w:r>
        <w:t>eMTC</w:t>
      </w:r>
      <w:proofErr w:type="spellEnd"/>
      <w:r>
        <w:t>, given the increased delay requirements (i.e. 10s from application to core network), solutions addressing HARQ stalling may not be as critical in NB-IoT/</w:t>
      </w:r>
      <w:proofErr w:type="spellStart"/>
      <w:r>
        <w:t>eMTC</w:t>
      </w:r>
      <w:proofErr w:type="spellEnd"/>
      <w:r>
        <w:t>. Additionally, considering the low-cost nature of NB-Io</w:t>
      </w:r>
      <w:r w:rsidR="003C5FA6">
        <w:t>T</w:t>
      </w:r>
      <w:r>
        <w:t>/</w:t>
      </w:r>
      <w:proofErr w:type="spellStart"/>
      <w:r>
        <w:t>eMTC</w:t>
      </w:r>
      <w:proofErr w:type="spellEnd"/>
      <w:r>
        <w:t xml:space="preserve"> devices, increasing the soft buffer requirements to support additional HARQ PIDs does not seem well motivated. </w:t>
      </w:r>
    </w:p>
    <w:p w14:paraId="662BF433" w14:textId="43DAC753" w:rsidR="006E7978" w:rsidRPr="002B7347" w:rsidRDefault="006E7978" w:rsidP="006E7978">
      <w:pPr>
        <w:ind w:left="1440" w:hanging="1440"/>
        <w:rPr>
          <w:i/>
          <w:lang w:eastAsia="sv-SE"/>
        </w:rPr>
      </w:pPr>
      <w:r w:rsidRPr="002B7347">
        <w:rPr>
          <w:i/>
          <w:u w:val="single"/>
          <w:lang w:eastAsia="sv-SE"/>
        </w:rPr>
        <w:t xml:space="preserve">Observation </w:t>
      </w:r>
      <w:r>
        <w:rPr>
          <w:i/>
          <w:u w:val="single"/>
          <w:lang w:eastAsia="sv-SE"/>
        </w:rPr>
        <w:t>2</w:t>
      </w:r>
      <w:r w:rsidRPr="002B7347">
        <w:rPr>
          <w:i/>
          <w:lang w:eastAsia="sv-SE"/>
        </w:rPr>
        <w:t xml:space="preserve">: </w:t>
      </w:r>
      <w:r w:rsidRPr="002B7347">
        <w:rPr>
          <w:i/>
          <w:lang w:eastAsia="sv-SE"/>
        </w:rPr>
        <w:tab/>
      </w:r>
      <w:r>
        <w:rPr>
          <w:i/>
          <w:lang w:eastAsia="sv-SE"/>
        </w:rPr>
        <w:t>Due to low-cost nature of NB-IoT/</w:t>
      </w:r>
      <w:proofErr w:type="spellStart"/>
      <w:r>
        <w:rPr>
          <w:i/>
          <w:lang w:eastAsia="sv-SE"/>
        </w:rPr>
        <w:t>eMTC</w:t>
      </w:r>
      <w:proofErr w:type="spellEnd"/>
      <w:r>
        <w:rPr>
          <w:i/>
          <w:lang w:eastAsia="sv-SE"/>
        </w:rPr>
        <w:t xml:space="preserve"> devices, increasing soft buffer requirements to support additional HARQ PIDs is not well motivated.</w:t>
      </w:r>
    </w:p>
    <w:p w14:paraId="63A51458" w14:textId="56F00B87" w:rsidR="00BD78A8" w:rsidRPr="0096000E" w:rsidRDefault="00BD78A8" w:rsidP="00BD78A8">
      <w:pPr>
        <w:ind w:left="1440" w:hanging="1440"/>
        <w:rPr>
          <w:b/>
          <w:lang w:eastAsia="sv-SE"/>
        </w:rPr>
      </w:pPr>
      <w:r w:rsidRPr="00DD4F71">
        <w:rPr>
          <w:b/>
          <w:lang w:eastAsia="sv-SE"/>
        </w:rPr>
        <w:t xml:space="preserve">Proposal </w:t>
      </w:r>
      <w:r>
        <w:rPr>
          <w:b/>
          <w:lang w:eastAsia="sv-SE"/>
        </w:rPr>
        <w:t>4</w:t>
      </w:r>
      <w:r w:rsidRPr="00DD4F71">
        <w:rPr>
          <w:b/>
          <w:lang w:eastAsia="sv-SE"/>
        </w:rPr>
        <w:t xml:space="preserve">: </w:t>
      </w:r>
      <w:r w:rsidRPr="00DD4F71">
        <w:rPr>
          <w:b/>
          <w:lang w:eastAsia="sv-SE"/>
        </w:rPr>
        <w:tab/>
      </w:r>
      <w:r>
        <w:rPr>
          <w:b/>
          <w:lang w:eastAsia="sv-SE"/>
        </w:rPr>
        <w:t>Additional HARQ PIDs are not support for NTN NB-IoT/</w:t>
      </w:r>
      <w:proofErr w:type="spellStart"/>
      <w:r>
        <w:rPr>
          <w:b/>
          <w:lang w:eastAsia="sv-SE"/>
        </w:rPr>
        <w:t>eMTC</w:t>
      </w:r>
      <w:proofErr w:type="spellEnd"/>
      <w:r>
        <w:rPr>
          <w:b/>
          <w:lang w:eastAsia="sv-SE"/>
        </w:rPr>
        <w:t xml:space="preserve"> devices</w:t>
      </w:r>
      <w:r w:rsidR="008A65F6">
        <w:rPr>
          <w:b/>
          <w:lang w:eastAsia="sv-SE"/>
        </w:rPr>
        <w:t>.</w:t>
      </w:r>
    </w:p>
    <w:p w14:paraId="4F0A719F" w14:textId="13A0DB26" w:rsidR="00BD78A8" w:rsidRPr="005941EA" w:rsidRDefault="00BD78A8" w:rsidP="00BD78A8">
      <w:pPr>
        <w:ind w:left="1440" w:hanging="1440"/>
        <w:rPr>
          <w:b/>
          <w:lang w:eastAsia="sv-SE"/>
        </w:rPr>
      </w:pPr>
      <w:r w:rsidRPr="00DD4F71">
        <w:rPr>
          <w:b/>
          <w:lang w:eastAsia="sv-SE"/>
        </w:rPr>
        <w:t xml:space="preserve">Proposal </w:t>
      </w:r>
      <w:r>
        <w:rPr>
          <w:b/>
          <w:lang w:eastAsia="sv-SE"/>
        </w:rPr>
        <w:t>5</w:t>
      </w:r>
      <w:r w:rsidRPr="00DD4F71">
        <w:rPr>
          <w:b/>
          <w:lang w:eastAsia="sv-SE"/>
        </w:rPr>
        <w:t xml:space="preserve">: </w:t>
      </w:r>
      <w:r w:rsidRPr="00DD4F71">
        <w:rPr>
          <w:b/>
          <w:lang w:eastAsia="sv-SE"/>
        </w:rPr>
        <w:tab/>
      </w:r>
      <w:r>
        <w:rPr>
          <w:b/>
          <w:lang w:eastAsia="sv-SE"/>
        </w:rPr>
        <w:t>Discussion on enhancements to reduce HARQ stalling is deprioritized in</w:t>
      </w:r>
      <w:r w:rsidR="005F2AEA">
        <w:rPr>
          <w:b/>
          <w:lang w:eastAsia="sv-SE"/>
        </w:rPr>
        <w:t xml:space="preserve"> NB-IoT/</w:t>
      </w:r>
      <w:proofErr w:type="spellStart"/>
      <w:r w:rsidR="005F2AEA">
        <w:rPr>
          <w:b/>
          <w:lang w:eastAsia="sv-SE"/>
        </w:rPr>
        <w:t>eMTC</w:t>
      </w:r>
      <w:proofErr w:type="spellEnd"/>
      <w:r w:rsidR="005F2AEA">
        <w:rPr>
          <w:b/>
          <w:lang w:eastAsia="sv-SE"/>
        </w:rPr>
        <w:t>.</w:t>
      </w:r>
    </w:p>
    <w:p w14:paraId="0B6D7D6F" w14:textId="77777777" w:rsidR="00214E6A" w:rsidRPr="004A1A95" w:rsidRDefault="00214E6A" w:rsidP="00214E6A">
      <w:pPr>
        <w:pStyle w:val="Heading1"/>
      </w:pPr>
      <w:r w:rsidRPr="004A1A95">
        <w:t>Conclusion</w:t>
      </w:r>
    </w:p>
    <w:p w14:paraId="66F0DF76" w14:textId="4BE55F18" w:rsidR="00E013C6" w:rsidRDefault="00214E6A" w:rsidP="00C6277A">
      <w:pPr>
        <w:tabs>
          <w:tab w:val="left" w:pos="0"/>
        </w:tabs>
      </w:pPr>
      <w:r>
        <w:t xml:space="preserve">In this contribution the following observations and proposals were made concerning </w:t>
      </w:r>
      <w:r w:rsidR="008A65F6" w:rsidRPr="008A65F6">
        <w:t>necessary changes to support IoT devices in NTN</w:t>
      </w:r>
      <w:r w:rsidR="008A65F6">
        <w:t>:</w:t>
      </w:r>
    </w:p>
    <w:p w14:paraId="18616A05" w14:textId="09318780" w:rsidR="008A65F6" w:rsidRDefault="008A65F6" w:rsidP="008A65F6">
      <w:pPr>
        <w:ind w:left="1440" w:hanging="1440"/>
        <w:rPr>
          <w:i/>
          <w:lang w:eastAsia="sv-SE"/>
        </w:rPr>
      </w:pPr>
      <w:r w:rsidRPr="002B7347">
        <w:rPr>
          <w:i/>
          <w:u w:val="single"/>
          <w:lang w:eastAsia="sv-SE"/>
        </w:rPr>
        <w:t>Observation 1</w:t>
      </w:r>
      <w:r w:rsidRPr="002B7347">
        <w:rPr>
          <w:i/>
          <w:lang w:eastAsia="sv-SE"/>
        </w:rPr>
        <w:t xml:space="preserve">: </w:t>
      </w:r>
      <w:r w:rsidRPr="002B7347">
        <w:rPr>
          <w:i/>
          <w:lang w:eastAsia="sv-SE"/>
        </w:rPr>
        <w:tab/>
      </w:r>
      <w:r>
        <w:rPr>
          <w:i/>
          <w:lang w:eastAsia="sv-SE"/>
        </w:rPr>
        <w:t>Both timing advance compensation techniques currently under consideration by RAN1 in NR NTN can be supported in NB-IoT/</w:t>
      </w:r>
      <w:proofErr w:type="spellStart"/>
      <w:r>
        <w:rPr>
          <w:i/>
          <w:lang w:eastAsia="sv-SE"/>
        </w:rPr>
        <w:t>eMTC</w:t>
      </w:r>
      <w:proofErr w:type="spellEnd"/>
      <w:r>
        <w:rPr>
          <w:i/>
          <w:lang w:eastAsia="sv-SE"/>
        </w:rPr>
        <w:t xml:space="preserve"> with modification.</w:t>
      </w:r>
    </w:p>
    <w:p w14:paraId="307EFE3B" w14:textId="77777777" w:rsidR="008A65F6" w:rsidRPr="002B7347" w:rsidRDefault="008A65F6" w:rsidP="008A65F6">
      <w:pPr>
        <w:ind w:left="1440" w:hanging="1440"/>
        <w:rPr>
          <w:i/>
          <w:lang w:eastAsia="sv-SE"/>
        </w:rPr>
      </w:pPr>
      <w:r w:rsidRPr="002B7347">
        <w:rPr>
          <w:i/>
          <w:u w:val="single"/>
          <w:lang w:eastAsia="sv-SE"/>
        </w:rPr>
        <w:t xml:space="preserve">Observation </w:t>
      </w:r>
      <w:r>
        <w:rPr>
          <w:i/>
          <w:u w:val="single"/>
          <w:lang w:eastAsia="sv-SE"/>
        </w:rPr>
        <w:t>2</w:t>
      </w:r>
      <w:r w:rsidRPr="002B7347">
        <w:rPr>
          <w:i/>
          <w:lang w:eastAsia="sv-SE"/>
        </w:rPr>
        <w:t xml:space="preserve">: </w:t>
      </w:r>
      <w:r w:rsidRPr="002B7347">
        <w:rPr>
          <w:i/>
          <w:lang w:eastAsia="sv-SE"/>
        </w:rPr>
        <w:tab/>
      </w:r>
      <w:r>
        <w:rPr>
          <w:i/>
          <w:lang w:eastAsia="sv-SE"/>
        </w:rPr>
        <w:t>Due to low-cost nature of NB-IoT/</w:t>
      </w:r>
      <w:proofErr w:type="spellStart"/>
      <w:r>
        <w:rPr>
          <w:i/>
          <w:lang w:eastAsia="sv-SE"/>
        </w:rPr>
        <w:t>eMTC</w:t>
      </w:r>
      <w:proofErr w:type="spellEnd"/>
      <w:r>
        <w:rPr>
          <w:i/>
          <w:lang w:eastAsia="sv-SE"/>
        </w:rPr>
        <w:t xml:space="preserve"> devices, increasing soft buffer requirements to support additional HARQ PIDs is not well motivated.</w:t>
      </w:r>
    </w:p>
    <w:p w14:paraId="6C2CF8BD" w14:textId="149242FE" w:rsidR="008A65F6" w:rsidRPr="0096000E" w:rsidRDefault="008A65F6" w:rsidP="008A65F6">
      <w:pPr>
        <w:ind w:left="1440" w:hanging="1440"/>
        <w:rPr>
          <w:b/>
          <w:lang w:eastAsia="sv-SE"/>
        </w:rPr>
      </w:pPr>
      <w:r w:rsidRPr="00DD4F71">
        <w:rPr>
          <w:b/>
          <w:lang w:eastAsia="sv-SE"/>
        </w:rPr>
        <w:t xml:space="preserve">Proposal </w:t>
      </w:r>
      <w:r>
        <w:rPr>
          <w:b/>
          <w:lang w:eastAsia="sv-SE"/>
        </w:rPr>
        <w:t>1</w:t>
      </w:r>
      <w:r w:rsidRPr="00DD4F71">
        <w:rPr>
          <w:b/>
          <w:lang w:eastAsia="sv-SE"/>
        </w:rPr>
        <w:t xml:space="preserve">: </w:t>
      </w:r>
      <w:r w:rsidRPr="00DD4F71">
        <w:rPr>
          <w:b/>
          <w:lang w:eastAsia="sv-SE"/>
        </w:rPr>
        <w:tab/>
      </w:r>
      <w:r>
        <w:rPr>
          <w:b/>
          <w:lang w:eastAsia="sv-SE"/>
        </w:rPr>
        <w:t>The timing compensation technique (location-based vs. timestamp-based) agreed in NR NTN is adopted for NB-IoT/</w:t>
      </w:r>
      <w:proofErr w:type="spellStart"/>
      <w:r>
        <w:rPr>
          <w:b/>
          <w:lang w:eastAsia="sv-SE"/>
        </w:rPr>
        <w:t>eMTC</w:t>
      </w:r>
      <w:proofErr w:type="spellEnd"/>
      <w:r>
        <w:rPr>
          <w:b/>
          <w:lang w:eastAsia="sv-SE"/>
        </w:rPr>
        <w:t>.</w:t>
      </w:r>
    </w:p>
    <w:p w14:paraId="144F49F9" w14:textId="77777777" w:rsidR="008A65F6" w:rsidRPr="005941EA" w:rsidRDefault="008A65F6" w:rsidP="008A65F6">
      <w:pPr>
        <w:ind w:left="1440" w:hanging="1440"/>
        <w:rPr>
          <w:b/>
          <w:lang w:eastAsia="sv-SE"/>
        </w:rPr>
      </w:pPr>
      <w:r w:rsidRPr="00DD4F71">
        <w:rPr>
          <w:b/>
          <w:lang w:eastAsia="sv-SE"/>
        </w:rPr>
        <w:t xml:space="preserve">Proposal </w:t>
      </w:r>
      <w:r>
        <w:rPr>
          <w:b/>
          <w:lang w:eastAsia="sv-SE"/>
        </w:rPr>
        <w:t>2</w:t>
      </w:r>
      <w:r w:rsidRPr="00DD4F71">
        <w:rPr>
          <w:b/>
          <w:lang w:eastAsia="sv-SE"/>
        </w:rPr>
        <w:t xml:space="preserve">: </w:t>
      </w:r>
      <w:r w:rsidRPr="00DD4F71">
        <w:rPr>
          <w:b/>
          <w:lang w:eastAsia="sv-SE"/>
        </w:rPr>
        <w:tab/>
      </w:r>
      <w:r>
        <w:rPr>
          <w:b/>
          <w:lang w:eastAsia="sv-SE"/>
        </w:rPr>
        <w:t>Discussion on frequency compensation in NB-IoT/</w:t>
      </w:r>
      <w:proofErr w:type="spellStart"/>
      <w:r>
        <w:rPr>
          <w:b/>
          <w:lang w:eastAsia="sv-SE"/>
        </w:rPr>
        <w:t>eMTC</w:t>
      </w:r>
      <w:proofErr w:type="spellEnd"/>
      <w:r>
        <w:rPr>
          <w:b/>
          <w:lang w:eastAsia="sv-SE"/>
        </w:rPr>
        <w:t xml:space="preserve"> for NTN is postponed until further progress in NR NTN WI.</w:t>
      </w:r>
    </w:p>
    <w:p w14:paraId="508123DC" w14:textId="77777777" w:rsidR="008A65F6" w:rsidRPr="0096000E" w:rsidRDefault="008A65F6" w:rsidP="008A65F6">
      <w:pPr>
        <w:ind w:left="1440" w:hanging="1440"/>
        <w:rPr>
          <w:b/>
          <w:lang w:eastAsia="sv-SE"/>
        </w:rPr>
      </w:pPr>
      <w:r w:rsidRPr="00DD4F71">
        <w:rPr>
          <w:b/>
          <w:lang w:eastAsia="sv-SE"/>
        </w:rPr>
        <w:t xml:space="preserve">Proposal </w:t>
      </w:r>
      <w:r>
        <w:rPr>
          <w:b/>
          <w:lang w:eastAsia="sv-SE"/>
        </w:rPr>
        <w:t>3</w:t>
      </w:r>
      <w:r w:rsidRPr="00DD4F71">
        <w:rPr>
          <w:b/>
          <w:lang w:eastAsia="sv-SE"/>
        </w:rPr>
        <w:t xml:space="preserve">: </w:t>
      </w:r>
      <w:r w:rsidRPr="00DD4F71">
        <w:rPr>
          <w:b/>
          <w:lang w:eastAsia="sv-SE"/>
        </w:rPr>
        <w:tab/>
      </w:r>
      <w:r>
        <w:rPr>
          <w:b/>
          <w:lang w:eastAsia="sv-SE"/>
        </w:rPr>
        <w:t xml:space="preserve">A </w:t>
      </w:r>
      <w:proofErr w:type="spellStart"/>
      <w:r>
        <w:rPr>
          <w:b/>
          <w:lang w:eastAsia="sv-SE"/>
        </w:rPr>
        <w:t>Koffset</w:t>
      </w:r>
      <w:proofErr w:type="spellEnd"/>
      <w:r>
        <w:rPr>
          <w:b/>
          <w:lang w:eastAsia="sv-SE"/>
        </w:rPr>
        <w:t xml:space="preserve"> value carried in system information is used to adapt timing relationship enhancements in NB-IoT/</w:t>
      </w:r>
      <w:proofErr w:type="spellStart"/>
      <w:r>
        <w:rPr>
          <w:b/>
          <w:lang w:eastAsia="sv-SE"/>
        </w:rPr>
        <w:t>eMTC</w:t>
      </w:r>
      <w:proofErr w:type="spellEnd"/>
      <w:r>
        <w:rPr>
          <w:b/>
          <w:lang w:eastAsia="sv-SE"/>
        </w:rPr>
        <w:t xml:space="preserve"> to an NTN environment.</w:t>
      </w:r>
    </w:p>
    <w:p w14:paraId="4C75B0A6" w14:textId="77777777" w:rsidR="008A65F6" w:rsidRPr="0096000E" w:rsidRDefault="008A65F6" w:rsidP="008A65F6">
      <w:pPr>
        <w:ind w:left="1440" w:hanging="1440"/>
        <w:rPr>
          <w:b/>
          <w:lang w:eastAsia="sv-SE"/>
        </w:rPr>
      </w:pPr>
      <w:r w:rsidRPr="00DD4F71">
        <w:rPr>
          <w:b/>
          <w:lang w:eastAsia="sv-SE"/>
        </w:rPr>
        <w:t xml:space="preserve">Proposal </w:t>
      </w:r>
      <w:r>
        <w:rPr>
          <w:b/>
          <w:lang w:eastAsia="sv-SE"/>
        </w:rPr>
        <w:t>4</w:t>
      </w:r>
      <w:r w:rsidRPr="00DD4F71">
        <w:rPr>
          <w:b/>
          <w:lang w:eastAsia="sv-SE"/>
        </w:rPr>
        <w:t xml:space="preserve">: </w:t>
      </w:r>
      <w:r w:rsidRPr="00DD4F71">
        <w:rPr>
          <w:b/>
          <w:lang w:eastAsia="sv-SE"/>
        </w:rPr>
        <w:tab/>
      </w:r>
      <w:r>
        <w:rPr>
          <w:b/>
          <w:lang w:eastAsia="sv-SE"/>
        </w:rPr>
        <w:t>Additional HARQ PIDs are not support for NTN NB-IoT/</w:t>
      </w:r>
      <w:proofErr w:type="spellStart"/>
      <w:r>
        <w:rPr>
          <w:b/>
          <w:lang w:eastAsia="sv-SE"/>
        </w:rPr>
        <w:t>eMTC</w:t>
      </w:r>
      <w:proofErr w:type="spellEnd"/>
      <w:r>
        <w:rPr>
          <w:b/>
          <w:lang w:eastAsia="sv-SE"/>
        </w:rPr>
        <w:t xml:space="preserve"> devices.</w:t>
      </w:r>
    </w:p>
    <w:p w14:paraId="397DF40F" w14:textId="14324BC1" w:rsidR="008A65F6" w:rsidRPr="00851E21" w:rsidRDefault="008A65F6" w:rsidP="00851E21">
      <w:pPr>
        <w:ind w:left="1440" w:hanging="1440"/>
        <w:rPr>
          <w:b/>
          <w:lang w:eastAsia="sv-SE"/>
        </w:rPr>
      </w:pPr>
      <w:r w:rsidRPr="00DD4F71">
        <w:rPr>
          <w:b/>
          <w:lang w:eastAsia="sv-SE"/>
        </w:rPr>
        <w:t xml:space="preserve">Proposal </w:t>
      </w:r>
      <w:r>
        <w:rPr>
          <w:b/>
          <w:lang w:eastAsia="sv-SE"/>
        </w:rPr>
        <w:t>5</w:t>
      </w:r>
      <w:r w:rsidRPr="00DD4F71">
        <w:rPr>
          <w:b/>
          <w:lang w:eastAsia="sv-SE"/>
        </w:rPr>
        <w:t xml:space="preserve">: </w:t>
      </w:r>
      <w:r w:rsidRPr="00DD4F71">
        <w:rPr>
          <w:b/>
          <w:lang w:eastAsia="sv-SE"/>
        </w:rPr>
        <w:tab/>
      </w:r>
      <w:r>
        <w:rPr>
          <w:b/>
          <w:lang w:eastAsia="sv-SE"/>
        </w:rPr>
        <w:t>Discussion on enhancements to reduce HARQ stalling is deprioritized in NB-IoT/</w:t>
      </w:r>
      <w:proofErr w:type="spellStart"/>
      <w:r>
        <w:rPr>
          <w:b/>
          <w:lang w:eastAsia="sv-SE"/>
        </w:rPr>
        <w:t>eMTC</w:t>
      </w:r>
      <w:proofErr w:type="spellEnd"/>
      <w:r>
        <w:rPr>
          <w:b/>
          <w:lang w:eastAsia="sv-SE"/>
        </w:rPr>
        <w:t>.</w:t>
      </w:r>
    </w:p>
    <w:p w14:paraId="377E0382" w14:textId="77777777" w:rsidR="00214E6A" w:rsidRPr="002C1763" w:rsidRDefault="00214E6A" w:rsidP="00214E6A">
      <w:pPr>
        <w:pStyle w:val="Heading1"/>
      </w:pPr>
      <w:r w:rsidRPr="002C1763">
        <w:t>References</w:t>
      </w:r>
    </w:p>
    <w:p w14:paraId="19B0FFC4" w14:textId="5B9783DF" w:rsidR="00166C9B" w:rsidRPr="002C1763" w:rsidRDefault="00AB5BB6" w:rsidP="00166C9B">
      <w:pPr>
        <w:pStyle w:val="Reference"/>
        <w:spacing w:after="60"/>
        <w:rPr>
          <w:rFonts w:cs="Arial"/>
          <w:szCs w:val="18"/>
          <w:lang w:val="en-US"/>
        </w:rPr>
      </w:pPr>
      <w:r w:rsidRPr="002C1763">
        <w:rPr>
          <w:rFonts w:cs="Arial"/>
          <w:szCs w:val="18"/>
          <w:lang w:val="en-US"/>
        </w:rPr>
        <w:t>RP 193235</w:t>
      </w:r>
      <w:r w:rsidR="002C1763" w:rsidRPr="002C1763">
        <w:rPr>
          <w:rFonts w:cs="Arial"/>
          <w:szCs w:val="18"/>
          <w:lang w:val="en-US"/>
        </w:rPr>
        <w:t xml:space="preserve"> study on NB-IoT/</w:t>
      </w:r>
      <w:proofErr w:type="spellStart"/>
      <w:r w:rsidR="002C1763" w:rsidRPr="002C1763">
        <w:rPr>
          <w:rFonts w:cs="Arial"/>
          <w:szCs w:val="18"/>
          <w:lang w:val="en-US"/>
        </w:rPr>
        <w:t>eMTC</w:t>
      </w:r>
      <w:proofErr w:type="spellEnd"/>
      <w:r w:rsidR="002C1763" w:rsidRPr="002C1763">
        <w:rPr>
          <w:rFonts w:cs="Arial"/>
          <w:szCs w:val="18"/>
          <w:lang w:val="en-US"/>
        </w:rPr>
        <w:t xml:space="preserve"> support for Non-Terrestrial Network (MediaTek)</w:t>
      </w:r>
    </w:p>
    <w:p w14:paraId="1A8DECA4" w14:textId="11CC7F97" w:rsidR="007121AA" w:rsidRPr="002C1763" w:rsidRDefault="002C1763" w:rsidP="00166C9B">
      <w:pPr>
        <w:pStyle w:val="Reference"/>
        <w:spacing w:after="60"/>
        <w:rPr>
          <w:rFonts w:cs="Arial"/>
          <w:szCs w:val="18"/>
          <w:lang w:val="en-US"/>
        </w:rPr>
      </w:pPr>
      <w:r w:rsidRPr="002C1763">
        <w:rPr>
          <w:rFonts w:cs="Arial"/>
          <w:szCs w:val="18"/>
          <w:lang w:val="en-US"/>
        </w:rPr>
        <w:t xml:space="preserve">3GPP </w:t>
      </w:r>
      <w:r w:rsidR="007121AA" w:rsidRPr="002C1763">
        <w:rPr>
          <w:rFonts w:cs="Arial"/>
          <w:szCs w:val="18"/>
          <w:lang w:val="en-US"/>
        </w:rPr>
        <w:t>TR 38.821</w:t>
      </w:r>
      <w:r w:rsidRPr="002C1763">
        <w:rPr>
          <w:rFonts w:cs="Arial"/>
          <w:szCs w:val="18"/>
          <w:lang w:val="en-US"/>
        </w:rPr>
        <w:t xml:space="preserve"> Solutions for NR to support non-terrestrial networks (NTN)</w:t>
      </w:r>
    </w:p>
    <w:p w14:paraId="025F01A8" w14:textId="473B122D" w:rsidR="007121AA" w:rsidRPr="002C1763" w:rsidRDefault="00AB5BB6" w:rsidP="00166C9B">
      <w:pPr>
        <w:pStyle w:val="Reference"/>
        <w:spacing w:after="60"/>
        <w:rPr>
          <w:rFonts w:cs="Arial"/>
          <w:szCs w:val="18"/>
          <w:lang w:val="en-US"/>
        </w:rPr>
      </w:pPr>
      <w:r w:rsidRPr="002C1763">
        <w:rPr>
          <w:rFonts w:cs="Arial"/>
          <w:szCs w:val="18"/>
          <w:lang w:val="en-US"/>
        </w:rPr>
        <w:t>Draft_Minutes_report_RAN1#102-e_v020</w:t>
      </w:r>
    </w:p>
    <w:p w14:paraId="2265B772" w14:textId="508A2515" w:rsidR="00697E1B" w:rsidRDefault="00697E1B" w:rsidP="00697E1B"/>
    <w:p w14:paraId="29B4E95F" w14:textId="77777777" w:rsidR="00BD7D1A" w:rsidRPr="00697E1B" w:rsidRDefault="00BD7D1A" w:rsidP="00697E1B"/>
    <w:sectPr w:rsidR="00BD7D1A" w:rsidRPr="00697E1B">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4A948" w14:textId="77777777" w:rsidR="00EC02F3" w:rsidRDefault="00EC02F3">
      <w:pPr>
        <w:spacing w:after="0"/>
      </w:pPr>
      <w:r>
        <w:separator/>
      </w:r>
    </w:p>
  </w:endnote>
  <w:endnote w:type="continuationSeparator" w:id="0">
    <w:p w14:paraId="0D7DED35" w14:textId="77777777" w:rsidR="00EC02F3" w:rsidRDefault="00EC02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B3DA1C" w14:textId="77777777" w:rsidR="00EC02F3" w:rsidRDefault="00EC02F3">
      <w:pPr>
        <w:spacing w:after="0"/>
      </w:pPr>
      <w:r>
        <w:separator/>
      </w:r>
    </w:p>
  </w:footnote>
  <w:footnote w:type="continuationSeparator" w:id="0">
    <w:p w14:paraId="56E936D4" w14:textId="77777777" w:rsidR="00EC02F3" w:rsidRDefault="00EC02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1555B"/>
    <w:multiLevelType w:val="hybridMultilevel"/>
    <w:tmpl w:val="F9EEB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BB246A"/>
    <w:multiLevelType w:val="multilevel"/>
    <w:tmpl w:val="4C39649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396493"/>
    <w:multiLevelType w:val="multilevel"/>
    <w:tmpl w:val="4C39649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11"/>
  </w:num>
  <w:num w:numId="3">
    <w:abstractNumId w:val="13"/>
  </w:num>
  <w:num w:numId="4">
    <w:abstractNumId w:val="18"/>
  </w:num>
  <w:num w:numId="5">
    <w:abstractNumId w:val="4"/>
  </w:num>
  <w:num w:numId="6">
    <w:abstractNumId w:val="17"/>
  </w:num>
  <w:num w:numId="7">
    <w:abstractNumId w:val="14"/>
  </w:num>
  <w:num w:numId="8">
    <w:abstractNumId w:val="0"/>
  </w:num>
  <w:num w:numId="9">
    <w:abstractNumId w:val="15"/>
  </w:num>
  <w:num w:numId="10">
    <w:abstractNumId w:val="16"/>
  </w:num>
  <w:num w:numId="11">
    <w:abstractNumId w:val="8"/>
  </w:num>
  <w:num w:numId="12">
    <w:abstractNumId w:val="2"/>
  </w:num>
  <w:num w:numId="13">
    <w:abstractNumId w:val="6"/>
  </w:num>
  <w:num w:numId="14">
    <w:abstractNumId w:val="3"/>
  </w:num>
  <w:num w:numId="15">
    <w:abstractNumId w:val="12"/>
  </w:num>
  <w:num w:numId="16">
    <w:abstractNumId w:val="10"/>
  </w:num>
  <w:num w:numId="17">
    <w:abstractNumId w:val="5"/>
  </w:num>
  <w:num w:numId="18">
    <w:abstractNumId w:val="7"/>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13648"/>
    <w:rsid w:val="00051E0B"/>
    <w:rsid w:val="000600DC"/>
    <w:rsid w:val="00064052"/>
    <w:rsid w:val="000674C7"/>
    <w:rsid w:val="0008793C"/>
    <w:rsid w:val="00091494"/>
    <w:rsid w:val="000B3CE8"/>
    <w:rsid w:val="000B3F22"/>
    <w:rsid w:val="001028E0"/>
    <w:rsid w:val="00137DF3"/>
    <w:rsid w:val="00143787"/>
    <w:rsid w:val="00166C9B"/>
    <w:rsid w:val="001B414B"/>
    <w:rsid w:val="001F73A9"/>
    <w:rsid w:val="00214E6A"/>
    <w:rsid w:val="0024763F"/>
    <w:rsid w:val="002C1763"/>
    <w:rsid w:val="002C4C84"/>
    <w:rsid w:val="002C7497"/>
    <w:rsid w:val="002D3C8A"/>
    <w:rsid w:val="002E48AE"/>
    <w:rsid w:val="002F3704"/>
    <w:rsid w:val="00330B3E"/>
    <w:rsid w:val="003538ED"/>
    <w:rsid w:val="00383D4F"/>
    <w:rsid w:val="0039750E"/>
    <w:rsid w:val="003A2818"/>
    <w:rsid w:val="003A2C98"/>
    <w:rsid w:val="003C25B8"/>
    <w:rsid w:val="003C5FA6"/>
    <w:rsid w:val="003D2B16"/>
    <w:rsid w:val="004040A2"/>
    <w:rsid w:val="004348A6"/>
    <w:rsid w:val="00436B58"/>
    <w:rsid w:val="00440C2E"/>
    <w:rsid w:val="00451891"/>
    <w:rsid w:val="00494CE4"/>
    <w:rsid w:val="004E08DF"/>
    <w:rsid w:val="004E4291"/>
    <w:rsid w:val="00502D6D"/>
    <w:rsid w:val="005074C9"/>
    <w:rsid w:val="005535D6"/>
    <w:rsid w:val="00557139"/>
    <w:rsid w:val="00581D98"/>
    <w:rsid w:val="0058204E"/>
    <w:rsid w:val="005941EA"/>
    <w:rsid w:val="005F2AEA"/>
    <w:rsid w:val="00626355"/>
    <w:rsid w:val="00660A66"/>
    <w:rsid w:val="006835E2"/>
    <w:rsid w:val="00697E1B"/>
    <w:rsid w:val="006E7978"/>
    <w:rsid w:val="0070274C"/>
    <w:rsid w:val="00710564"/>
    <w:rsid w:val="0071162D"/>
    <w:rsid w:val="007121AA"/>
    <w:rsid w:val="00774669"/>
    <w:rsid w:val="00782864"/>
    <w:rsid w:val="007B4EAD"/>
    <w:rsid w:val="008136B3"/>
    <w:rsid w:val="008167F5"/>
    <w:rsid w:val="00851E21"/>
    <w:rsid w:val="008539B3"/>
    <w:rsid w:val="00853ECC"/>
    <w:rsid w:val="00877B39"/>
    <w:rsid w:val="008A65F6"/>
    <w:rsid w:val="008B25C4"/>
    <w:rsid w:val="008D1124"/>
    <w:rsid w:val="00916484"/>
    <w:rsid w:val="009339C3"/>
    <w:rsid w:val="0096000E"/>
    <w:rsid w:val="00975245"/>
    <w:rsid w:val="009A5E77"/>
    <w:rsid w:val="009F6733"/>
    <w:rsid w:val="00A06AB5"/>
    <w:rsid w:val="00A271ED"/>
    <w:rsid w:val="00A45034"/>
    <w:rsid w:val="00A53593"/>
    <w:rsid w:val="00A575EC"/>
    <w:rsid w:val="00AB039F"/>
    <w:rsid w:val="00AB40E1"/>
    <w:rsid w:val="00AB5BB6"/>
    <w:rsid w:val="00AB5C41"/>
    <w:rsid w:val="00AC0FB7"/>
    <w:rsid w:val="00AC1B18"/>
    <w:rsid w:val="00AC211F"/>
    <w:rsid w:val="00AC76A8"/>
    <w:rsid w:val="00AE460A"/>
    <w:rsid w:val="00B128ED"/>
    <w:rsid w:val="00B642AA"/>
    <w:rsid w:val="00B72BCD"/>
    <w:rsid w:val="00B91C51"/>
    <w:rsid w:val="00BB4E5F"/>
    <w:rsid w:val="00BD1A8E"/>
    <w:rsid w:val="00BD435D"/>
    <w:rsid w:val="00BD78A8"/>
    <w:rsid w:val="00BD7D1A"/>
    <w:rsid w:val="00C5021B"/>
    <w:rsid w:val="00C57B06"/>
    <w:rsid w:val="00C6277A"/>
    <w:rsid w:val="00C861AE"/>
    <w:rsid w:val="00C87969"/>
    <w:rsid w:val="00CD05AE"/>
    <w:rsid w:val="00CD3AD6"/>
    <w:rsid w:val="00CD556B"/>
    <w:rsid w:val="00D0777D"/>
    <w:rsid w:val="00D52628"/>
    <w:rsid w:val="00D92283"/>
    <w:rsid w:val="00DB2983"/>
    <w:rsid w:val="00DB5942"/>
    <w:rsid w:val="00DD70A0"/>
    <w:rsid w:val="00DD715F"/>
    <w:rsid w:val="00E00217"/>
    <w:rsid w:val="00E013C6"/>
    <w:rsid w:val="00E225AC"/>
    <w:rsid w:val="00E36AD3"/>
    <w:rsid w:val="00E70099"/>
    <w:rsid w:val="00E853EE"/>
    <w:rsid w:val="00EA0D15"/>
    <w:rsid w:val="00EB1962"/>
    <w:rsid w:val="00EB5786"/>
    <w:rsid w:val="00EB6654"/>
    <w:rsid w:val="00EC02F3"/>
    <w:rsid w:val="00EC108B"/>
    <w:rsid w:val="00EC2BC1"/>
    <w:rsid w:val="00EC61DF"/>
    <w:rsid w:val="00EC6886"/>
    <w:rsid w:val="00ED3E53"/>
    <w:rsid w:val="00ED5307"/>
    <w:rsid w:val="00EF078A"/>
    <w:rsid w:val="00EF28CA"/>
    <w:rsid w:val="00F00A92"/>
    <w:rsid w:val="00F641BB"/>
    <w:rsid w:val="00FA29D0"/>
    <w:rsid w:val="00FF3C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NO">
    <w:name w:val="NO"/>
    <w:basedOn w:val="Normal"/>
    <w:rsid w:val="00853ECC"/>
    <w:pPr>
      <w:keepLines/>
      <w:spacing w:after="180"/>
      <w:ind w:left="1135" w:hanging="851"/>
      <w:jc w:val="left"/>
    </w:pPr>
    <w:rPr>
      <w:rFonts w:ascii="Times New Roman" w:hAnsi="Times New Roman"/>
      <w:lang w:eastAsia="zh-TW"/>
    </w:rPr>
  </w:style>
  <w:style w:type="paragraph" w:customStyle="1" w:styleId="B1">
    <w:name w:val="B1"/>
    <w:basedOn w:val="List"/>
    <w:link w:val="B1Char1"/>
    <w:rsid w:val="00853ECC"/>
    <w:pPr>
      <w:spacing w:after="180"/>
      <w:ind w:left="568" w:hanging="284"/>
      <w:contextualSpacing w:val="0"/>
      <w:jc w:val="left"/>
    </w:pPr>
    <w:rPr>
      <w:rFonts w:ascii="Times New Roman" w:hAnsi="Times New Roman"/>
      <w:lang w:eastAsia="zh-TW"/>
    </w:rPr>
  </w:style>
  <w:style w:type="paragraph" w:customStyle="1" w:styleId="B2">
    <w:name w:val="B2"/>
    <w:basedOn w:val="List2"/>
    <w:link w:val="B2Char"/>
    <w:rsid w:val="00853ECC"/>
    <w:pPr>
      <w:spacing w:after="180"/>
      <w:ind w:left="851" w:hanging="284"/>
      <w:contextualSpacing w:val="0"/>
      <w:jc w:val="left"/>
    </w:pPr>
    <w:rPr>
      <w:rFonts w:ascii="Times New Roman" w:hAnsi="Times New Roman"/>
      <w:lang w:eastAsia="zh-TW"/>
    </w:rPr>
  </w:style>
  <w:style w:type="paragraph" w:styleId="List">
    <w:name w:val="List"/>
    <w:basedOn w:val="Normal"/>
    <w:uiPriority w:val="99"/>
    <w:semiHidden/>
    <w:unhideWhenUsed/>
    <w:rsid w:val="00853ECC"/>
    <w:pPr>
      <w:ind w:left="360" w:hanging="360"/>
      <w:contextualSpacing/>
    </w:pPr>
  </w:style>
  <w:style w:type="paragraph" w:styleId="List2">
    <w:name w:val="List 2"/>
    <w:basedOn w:val="Normal"/>
    <w:uiPriority w:val="99"/>
    <w:semiHidden/>
    <w:unhideWhenUsed/>
    <w:rsid w:val="00853ECC"/>
    <w:pPr>
      <w:ind w:left="720" w:hanging="360"/>
      <w:contextualSpacing/>
    </w:pPr>
  </w:style>
  <w:style w:type="paragraph" w:customStyle="1" w:styleId="TAH">
    <w:name w:val="TAH"/>
    <w:basedOn w:val="Normal"/>
    <w:link w:val="TAHCar"/>
    <w:rsid w:val="00D92283"/>
    <w:pPr>
      <w:keepNext/>
      <w:keepLines/>
      <w:spacing w:after="0"/>
      <w:jc w:val="center"/>
    </w:pPr>
    <w:rPr>
      <w:b/>
      <w:sz w:val="18"/>
      <w:lang w:eastAsia="ja-JP"/>
    </w:rPr>
  </w:style>
  <w:style w:type="paragraph" w:customStyle="1" w:styleId="TAL">
    <w:name w:val="TAL"/>
    <w:basedOn w:val="Normal"/>
    <w:link w:val="TALCar"/>
    <w:rsid w:val="00D92283"/>
    <w:pPr>
      <w:keepNext/>
      <w:keepLines/>
      <w:spacing w:after="0"/>
      <w:jc w:val="left"/>
    </w:pPr>
    <w:rPr>
      <w:sz w:val="18"/>
      <w:lang w:eastAsia="ja-JP"/>
    </w:rPr>
  </w:style>
  <w:style w:type="character" w:customStyle="1" w:styleId="TALCar">
    <w:name w:val="TAL Car"/>
    <w:link w:val="TAL"/>
    <w:qFormat/>
    <w:rsid w:val="00D92283"/>
    <w:rPr>
      <w:rFonts w:ascii="Arial" w:eastAsia="Times New Roman" w:hAnsi="Arial" w:cs="Times New Roman"/>
      <w:sz w:val="18"/>
      <w:szCs w:val="20"/>
      <w:lang w:val="en-GB" w:eastAsia="ja-JP"/>
    </w:rPr>
  </w:style>
  <w:style w:type="character" w:customStyle="1" w:styleId="TAHCar">
    <w:name w:val="TAH Car"/>
    <w:link w:val="TAH"/>
    <w:qFormat/>
    <w:locked/>
    <w:rsid w:val="00D92283"/>
    <w:rPr>
      <w:rFonts w:ascii="Arial" w:eastAsia="Times New Roman" w:hAnsi="Arial" w:cs="Times New Roman"/>
      <w:b/>
      <w:sz w:val="18"/>
      <w:szCs w:val="20"/>
      <w:lang w:val="en-GB" w:eastAsia="ja-JP"/>
    </w:rPr>
  </w:style>
  <w:style w:type="paragraph" w:customStyle="1" w:styleId="TH">
    <w:name w:val="TH"/>
    <w:basedOn w:val="Normal"/>
    <w:link w:val="THChar"/>
    <w:rsid w:val="00D92283"/>
    <w:pPr>
      <w:keepNext/>
      <w:keepLines/>
      <w:spacing w:before="60" w:after="180"/>
      <w:jc w:val="center"/>
    </w:pPr>
    <w:rPr>
      <w:b/>
      <w:lang w:eastAsia="ja-JP"/>
    </w:rPr>
  </w:style>
  <w:style w:type="character" w:customStyle="1" w:styleId="THChar">
    <w:name w:val="TH Char"/>
    <w:link w:val="TH"/>
    <w:qFormat/>
    <w:rsid w:val="00D92283"/>
    <w:rPr>
      <w:rFonts w:ascii="Arial" w:eastAsia="Times New Roman" w:hAnsi="Arial" w:cs="Times New Roman"/>
      <w:b/>
      <w:sz w:val="20"/>
      <w:szCs w:val="20"/>
      <w:lang w:val="en-GB" w:eastAsia="ja-JP"/>
    </w:rPr>
  </w:style>
  <w:style w:type="paragraph" w:customStyle="1" w:styleId="PL">
    <w:name w:val="PL"/>
    <w:link w:val="PLChar"/>
    <w:rsid w:val="00D9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D92283"/>
    <w:rPr>
      <w:rFonts w:ascii="Courier New" w:eastAsia="Times New Roman" w:hAnsi="Courier New" w:cs="Times New Roman"/>
      <w:noProof/>
      <w:sz w:val="16"/>
      <w:szCs w:val="20"/>
      <w:lang w:val="en-GB" w:eastAsia="ja-JP"/>
    </w:rPr>
  </w:style>
  <w:style w:type="character" w:customStyle="1" w:styleId="B1Char1">
    <w:name w:val="B1 Char1"/>
    <w:link w:val="B1"/>
    <w:qFormat/>
    <w:rsid w:val="00D92283"/>
    <w:rPr>
      <w:rFonts w:ascii="Times New Roman" w:eastAsia="Times New Roman" w:hAnsi="Times New Roman" w:cs="Times New Roman"/>
      <w:sz w:val="20"/>
      <w:szCs w:val="20"/>
      <w:lang w:val="en-GB" w:eastAsia="zh-TW"/>
    </w:rPr>
  </w:style>
  <w:style w:type="character" w:customStyle="1" w:styleId="B2Char">
    <w:name w:val="B2 Char"/>
    <w:link w:val="B2"/>
    <w:qFormat/>
    <w:rsid w:val="00D92283"/>
    <w:rPr>
      <w:rFonts w:ascii="Times New Roman" w:eastAsia="Times New Roman" w:hAnsi="Times New Roman" w:cs="Times New Roman"/>
      <w:sz w:val="20"/>
      <w:szCs w:val="20"/>
      <w:lang w:val="en-GB" w:eastAsia="zh-TW"/>
    </w:rPr>
  </w:style>
  <w:style w:type="character" w:customStyle="1" w:styleId="TALChar">
    <w:name w:val="TAL Char"/>
    <w:qFormat/>
    <w:rsid w:val="00BB4E5F"/>
    <w:rPr>
      <w:rFonts w:ascii="Arial" w:hAnsi="Arial"/>
      <w:sz w:val="18"/>
      <w:lang w:val="en-GB" w:eastAsia="en-US"/>
    </w:rPr>
  </w:style>
  <w:style w:type="paragraph" w:styleId="BalloonText">
    <w:name w:val="Balloon Text"/>
    <w:basedOn w:val="Normal"/>
    <w:link w:val="BalloonTextChar"/>
    <w:uiPriority w:val="99"/>
    <w:semiHidden/>
    <w:unhideWhenUsed/>
    <w:rsid w:val="0058204E"/>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58204E"/>
    <w:rPr>
      <w:rFonts w:ascii="Times New Roman" w:eastAsia="Times New Roman" w:hAnsi="Times New Roman" w:cs="Times New Roman"/>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2C3034-E1F2-4576-8A7A-626C18120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1722</Words>
  <Characters>9820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문일 이</cp:lastModifiedBy>
  <cp:revision>2</cp:revision>
  <dcterms:created xsi:type="dcterms:W3CDTF">2020-10-23T21:34:00Z</dcterms:created>
  <dcterms:modified xsi:type="dcterms:W3CDTF">2020-10-23T21:34:00Z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